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B5" w:rsidRPr="00090FB5" w:rsidRDefault="006B7787" w:rsidP="006B7787">
      <w:pPr>
        <w:jc w:val="left"/>
        <w:rPr>
          <w:b/>
          <w:sz w:val="32"/>
          <w:szCs w:val="32"/>
        </w:rPr>
      </w:pPr>
      <w:r w:rsidRPr="006B7787">
        <w:rPr>
          <w:rFonts w:ascii="华文仿宋" w:eastAsia="华文仿宋" w:hAnsi="华文仿宋" w:hint="eastAsia"/>
          <w:sz w:val="32"/>
          <w:szCs w:val="32"/>
        </w:rPr>
        <w:t>附件</w:t>
      </w:r>
      <w:r w:rsidR="00EA3BFE">
        <w:rPr>
          <w:rFonts w:ascii="华文仿宋" w:eastAsia="华文仿宋" w:hAnsi="华文仿宋" w:hint="eastAsia"/>
          <w:sz w:val="32"/>
          <w:szCs w:val="32"/>
        </w:rPr>
        <w:t>7</w:t>
      </w:r>
      <w:r w:rsidRPr="006B7787">
        <w:rPr>
          <w:rFonts w:ascii="华文仿宋" w:eastAsia="华文仿宋" w:hAnsi="华文仿宋" w:hint="eastAsia"/>
          <w:sz w:val="32"/>
          <w:szCs w:val="32"/>
        </w:rPr>
        <w:t>、</w:t>
      </w:r>
      <w:bookmarkStart w:id="0" w:name="_GoBack"/>
      <w:bookmarkEnd w:id="0"/>
      <w:r w:rsidR="00090FB5" w:rsidRPr="00090FB5">
        <w:rPr>
          <w:rFonts w:hint="eastAsia"/>
          <w:b/>
          <w:sz w:val="32"/>
          <w:szCs w:val="32"/>
        </w:rPr>
        <w:t>江苏省</w:t>
      </w:r>
      <w:r w:rsidR="00090FB5" w:rsidRPr="00090FB5">
        <w:rPr>
          <w:b/>
          <w:sz w:val="32"/>
          <w:szCs w:val="32"/>
        </w:rPr>
        <w:t>企业类工程技术研究中心绩效评估标准及说明</w:t>
      </w:r>
    </w:p>
    <w:tbl>
      <w:tblPr>
        <w:tblpPr w:leftFromText="180" w:rightFromText="180" w:vertAnchor="page" w:horzAnchor="margin" w:tblpY="155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850"/>
        <w:gridCol w:w="709"/>
        <w:gridCol w:w="426"/>
        <w:gridCol w:w="2125"/>
        <w:gridCol w:w="9356"/>
        <w:gridCol w:w="850"/>
      </w:tblGrid>
      <w:tr w:rsidR="00090FB5" w:rsidRPr="006B41ED" w:rsidTr="00090FB5">
        <w:trPr>
          <w:trHeight w:val="557"/>
        </w:trPr>
        <w:tc>
          <w:tcPr>
            <w:tcW w:w="1384" w:type="dxa"/>
            <w:gridSpan w:val="2"/>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一级指标</w:t>
            </w:r>
          </w:p>
        </w:tc>
        <w:tc>
          <w:tcPr>
            <w:tcW w:w="709" w:type="dxa"/>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权重</w:t>
            </w:r>
          </w:p>
        </w:tc>
        <w:tc>
          <w:tcPr>
            <w:tcW w:w="2551" w:type="dxa"/>
            <w:gridSpan w:val="2"/>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二级指标</w:t>
            </w:r>
          </w:p>
        </w:tc>
        <w:tc>
          <w:tcPr>
            <w:tcW w:w="9356" w:type="dxa"/>
            <w:vAlign w:val="center"/>
          </w:tcPr>
          <w:p w:rsidR="00090FB5" w:rsidRPr="006B41ED" w:rsidRDefault="00090FB5" w:rsidP="00090FB5">
            <w:pPr>
              <w:widowControl/>
              <w:jc w:val="center"/>
              <w:rPr>
                <w:rFonts w:ascii="Times New Roman" w:eastAsia="宋体" w:hAnsi="宋体" w:cs="Times New Roman"/>
                <w:b/>
                <w:bCs/>
                <w:kern w:val="0"/>
                <w:sz w:val="24"/>
                <w:szCs w:val="24"/>
              </w:rPr>
            </w:pPr>
            <w:r w:rsidRPr="006B41ED">
              <w:rPr>
                <w:rFonts w:ascii="Times New Roman" w:eastAsia="宋体" w:hAnsi="宋体" w:cs="Times New Roman" w:hint="eastAsia"/>
                <w:b/>
                <w:bCs/>
                <w:kern w:val="0"/>
                <w:sz w:val="24"/>
                <w:szCs w:val="24"/>
              </w:rPr>
              <w:t>指标说明</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权重</w:t>
            </w:r>
          </w:p>
        </w:tc>
      </w:tr>
      <w:tr w:rsidR="00090FB5" w:rsidRPr="006B41ED" w:rsidTr="00090FB5">
        <w:trPr>
          <w:trHeight w:val="390"/>
        </w:trPr>
        <w:tc>
          <w:tcPr>
            <w:tcW w:w="534"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一</w:t>
            </w:r>
          </w:p>
        </w:tc>
        <w:tc>
          <w:tcPr>
            <w:tcW w:w="850"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研发条件与能力</w:t>
            </w:r>
          </w:p>
        </w:tc>
        <w:tc>
          <w:tcPr>
            <w:tcW w:w="709"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20%</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1</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工程中心定位</w:t>
            </w:r>
          </w:p>
        </w:tc>
        <w:tc>
          <w:tcPr>
            <w:tcW w:w="9356" w:type="dxa"/>
            <w:vAlign w:val="center"/>
          </w:tcPr>
          <w:p w:rsidR="00090FB5" w:rsidRPr="006B41ED" w:rsidRDefault="00090FB5" w:rsidP="00090FB5">
            <w:pPr>
              <w:snapToGrid w:val="0"/>
              <w:rPr>
                <w:rFonts w:ascii="宋体" w:eastAsia="宋体" w:hAnsi="宋体" w:cs="Calibri"/>
                <w:spacing w:val="-20"/>
                <w:szCs w:val="21"/>
              </w:rPr>
            </w:pPr>
            <w:r w:rsidRPr="006B41ED">
              <w:rPr>
                <w:rFonts w:ascii="宋体" w:eastAsia="宋体" w:hAnsi="宋体" w:cs="Calibri" w:hint="eastAsia"/>
                <w:szCs w:val="21"/>
              </w:rPr>
              <w:t>符合国家产业政策，引领产业高端发展，符合工程中心的功能定位</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979"/>
        </w:trPr>
        <w:tc>
          <w:tcPr>
            <w:tcW w:w="534"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850"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2</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依托单位研发投入、仪器设备与场地</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依托单位研发投入保障工程中心正常运行。重点考核依托单位对工程中心研发经费（包括科研工作经费、人才培养与引进经费、仪器设备等科研资源更新经费等）投入额，经费比重情况，经费投入机制是否顺畅有效；仪器设备的先进性及近年更新情况，</w:t>
            </w:r>
            <w:r w:rsidRPr="006B41ED">
              <w:rPr>
                <w:rFonts w:ascii="宋体" w:eastAsia="宋体" w:hAnsi="宋体" w:cs="Calibri"/>
                <w:szCs w:val="21"/>
              </w:rPr>
              <w:t>中试生产线</w:t>
            </w:r>
            <w:r w:rsidRPr="006B41ED">
              <w:rPr>
                <w:rFonts w:ascii="宋体" w:eastAsia="宋体" w:hAnsi="宋体" w:cs="Calibri" w:hint="eastAsia"/>
                <w:szCs w:val="21"/>
              </w:rPr>
              <w:t>、场地及其他</w:t>
            </w:r>
            <w:r w:rsidRPr="006B41ED">
              <w:rPr>
                <w:rFonts w:ascii="宋体" w:eastAsia="宋体" w:hAnsi="宋体" w:cs="Calibri"/>
                <w:szCs w:val="21"/>
              </w:rPr>
              <w:t>配套设施</w:t>
            </w:r>
            <w:r w:rsidRPr="006B41ED">
              <w:rPr>
                <w:rFonts w:ascii="宋体" w:eastAsia="宋体" w:hAnsi="宋体" w:cs="Calibri" w:hint="eastAsia"/>
                <w:szCs w:val="21"/>
              </w:rPr>
              <w:t>情况</w:t>
            </w:r>
            <w:r w:rsidRPr="006B41ED">
              <w:rPr>
                <w:rFonts w:ascii="宋体" w:eastAsia="宋体" w:hAnsi="宋体" w:cs="Calibri"/>
                <w:szCs w:val="21"/>
              </w:rPr>
              <w:t>。</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694"/>
        </w:trPr>
        <w:tc>
          <w:tcPr>
            <w:tcW w:w="534"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850"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3</w:t>
            </w:r>
          </w:p>
        </w:tc>
        <w:tc>
          <w:tcPr>
            <w:tcW w:w="2125" w:type="dxa"/>
            <w:shd w:val="clear" w:color="auto" w:fill="auto"/>
            <w:vAlign w:val="center"/>
          </w:tcPr>
          <w:p w:rsidR="00090FB5" w:rsidRPr="006B41ED" w:rsidRDefault="00090FB5" w:rsidP="00090FB5">
            <w:pPr>
              <w:widowControl/>
              <w:rPr>
                <w:rFonts w:ascii="宋体" w:eastAsia="宋体" w:hAnsi="宋体" w:cs="Times New Roman"/>
                <w:color w:val="FF0000"/>
                <w:kern w:val="0"/>
                <w:szCs w:val="21"/>
              </w:rPr>
            </w:pPr>
            <w:r w:rsidRPr="006B41ED">
              <w:rPr>
                <w:rFonts w:ascii="宋体" w:eastAsia="宋体" w:hAnsi="宋体" w:cs="Times New Roman"/>
                <w:kern w:val="0"/>
                <w:szCs w:val="21"/>
              </w:rPr>
              <w:t>承担市级以上科研项目</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重点考核工程中心承担市级以上科技计划项目数量、级别、经费额、项目与研发方向的一致性，项目完成情况等。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778"/>
        </w:trPr>
        <w:tc>
          <w:tcPr>
            <w:tcW w:w="534" w:type="dxa"/>
            <w:vMerge w:val="restart"/>
            <w:vAlign w:val="center"/>
          </w:tcPr>
          <w:p w:rsidR="00090FB5" w:rsidRPr="006B41ED" w:rsidRDefault="00090FB5" w:rsidP="00090FB5">
            <w:pPr>
              <w:widowControl/>
              <w:jc w:val="left"/>
              <w:rPr>
                <w:rFonts w:ascii="宋体" w:eastAsia="宋体" w:hAnsi="宋体" w:cs="Times New Roman"/>
                <w:kern w:val="0"/>
                <w:szCs w:val="21"/>
              </w:rPr>
            </w:pPr>
            <w:r w:rsidRPr="006B41ED">
              <w:rPr>
                <w:rFonts w:ascii="宋体" w:eastAsia="宋体" w:hAnsi="宋体" w:cs="Times New Roman"/>
                <w:kern w:val="0"/>
                <w:szCs w:val="21"/>
              </w:rPr>
              <w:t>二</w:t>
            </w:r>
          </w:p>
        </w:tc>
        <w:tc>
          <w:tcPr>
            <w:tcW w:w="850"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团队建设与人才培养</w:t>
            </w:r>
          </w:p>
        </w:tc>
        <w:tc>
          <w:tcPr>
            <w:tcW w:w="709"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15%</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4</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团队规模，设有人才站点类项目工程中心可适当加分</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人才团队规模能满足工程中心发展需求。重点考核工程中心专职研发团队（不少于20人）、工程化团队规模，人才引进与培养情况，</w:t>
            </w:r>
            <w:r w:rsidRPr="006B41ED">
              <w:rPr>
                <w:rFonts w:ascii="宋体" w:eastAsia="宋体" w:hAnsi="宋体" w:cs="宋体" w:hint="eastAsia"/>
                <w:kern w:val="0"/>
                <w:szCs w:val="21"/>
              </w:rPr>
              <w:t>设有人才站点类项目工程中心可适当加分。</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731"/>
        </w:trPr>
        <w:tc>
          <w:tcPr>
            <w:tcW w:w="534"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850"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5</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结构层次</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人才团队的结构与水平能够支持工程中心发展。重点考核工程中心人才队伍年龄结构、岗位结构、学历结构、技术职称结构等合理性，技术带头人组织能力及研发水平，团队素质与层次等。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684"/>
        </w:trPr>
        <w:tc>
          <w:tcPr>
            <w:tcW w:w="534" w:type="dxa"/>
            <w:vMerge w:val="restart"/>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三</w:t>
            </w:r>
          </w:p>
        </w:tc>
        <w:tc>
          <w:tcPr>
            <w:tcW w:w="850" w:type="dxa"/>
            <w:vMerge w:val="restart"/>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研发产出与运行成效</w:t>
            </w:r>
          </w:p>
        </w:tc>
        <w:tc>
          <w:tcPr>
            <w:tcW w:w="709"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50%</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6</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新产品、新工艺、新技术开发</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重点考核工程中心研发的新产品、新工艺、新技术的数量与水平，包括国家相关部门或行业（组织）认定的专有技术、新产品及其他代表性“三新”成果。</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15%</w:t>
            </w:r>
          </w:p>
        </w:tc>
      </w:tr>
      <w:tr w:rsidR="00090FB5" w:rsidRPr="006B41ED" w:rsidTr="00090FB5">
        <w:trPr>
          <w:trHeight w:val="992"/>
        </w:trPr>
        <w:tc>
          <w:tcPr>
            <w:tcW w:w="534" w:type="dxa"/>
            <w:vMerge/>
            <w:vAlign w:val="center"/>
          </w:tcPr>
          <w:p w:rsidR="00090FB5" w:rsidRPr="006B41ED" w:rsidRDefault="00090FB5" w:rsidP="00090FB5">
            <w:pPr>
              <w:rPr>
                <w:rFonts w:ascii="宋体" w:eastAsia="宋体" w:hAnsi="宋体" w:cs="Times New Roman"/>
                <w:kern w:val="0"/>
                <w:szCs w:val="21"/>
              </w:rPr>
            </w:pPr>
          </w:p>
        </w:tc>
        <w:tc>
          <w:tcPr>
            <w:tcW w:w="850" w:type="dxa"/>
            <w:vMerge/>
            <w:vAlign w:val="center"/>
          </w:tcPr>
          <w:p w:rsidR="00090FB5" w:rsidRPr="006B41ED" w:rsidRDefault="00090FB5" w:rsidP="00090FB5">
            <w:pPr>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7</w:t>
            </w:r>
          </w:p>
        </w:tc>
        <w:tc>
          <w:tcPr>
            <w:tcW w:w="2125" w:type="dxa"/>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新产品销售额及占比</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开发的新产品在评估期内实现的销售额及在依托单位总销售额中所占的比例。（新产品既包括经政府有关部门认定并在有效期内的新产品，也包括企业自行研制开发，未经政府部门认定，从投产之日起一年之内的新产品。）</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25%</w:t>
            </w:r>
          </w:p>
        </w:tc>
      </w:tr>
      <w:tr w:rsidR="00090FB5" w:rsidRPr="006B41ED" w:rsidTr="00090FB5">
        <w:trPr>
          <w:trHeight w:val="695"/>
        </w:trPr>
        <w:tc>
          <w:tcPr>
            <w:tcW w:w="534"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850"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709"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8</w:t>
            </w:r>
          </w:p>
        </w:tc>
        <w:tc>
          <w:tcPr>
            <w:tcW w:w="2125" w:type="dxa"/>
            <w:shd w:val="clear" w:color="auto" w:fill="auto"/>
            <w:vAlign w:val="center"/>
          </w:tcPr>
          <w:p w:rsidR="00090FB5" w:rsidRPr="006B41ED" w:rsidRDefault="00090FB5" w:rsidP="00090FB5">
            <w:pPr>
              <w:widowControl/>
              <w:rPr>
                <w:rFonts w:ascii="宋体" w:eastAsia="宋体" w:hAnsi="宋体" w:cs="Times New Roman"/>
                <w:color w:val="FF0000"/>
                <w:kern w:val="0"/>
                <w:szCs w:val="21"/>
              </w:rPr>
            </w:pPr>
            <w:r w:rsidRPr="006B41ED">
              <w:rPr>
                <w:rFonts w:ascii="宋体" w:eastAsia="宋体" w:hAnsi="宋体" w:cs="Times New Roman"/>
                <w:kern w:val="0"/>
                <w:szCs w:val="21"/>
              </w:rPr>
              <w:t>专利等知识产权</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重点考核工程中心申请和授权的专利（发明专利、实用新型专利）、主持或参与制修定的技术标准以及其他知识产权（如新药证书、新农药证书、农业新品种、软件著作权、专有技术等）。</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605"/>
        </w:trPr>
        <w:tc>
          <w:tcPr>
            <w:tcW w:w="534" w:type="dxa"/>
            <w:vMerge w:val="restart"/>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四</w:t>
            </w:r>
          </w:p>
        </w:tc>
        <w:tc>
          <w:tcPr>
            <w:tcW w:w="850" w:type="dxa"/>
            <w:vMerge w:val="restart"/>
            <w:shd w:val="clear" w:color="auto" w:fill="auto"/>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开放交流与运行管理</w:t>
            </w:r>
          </w:p>
        </w:tc>
        <w:tc>
          <w:tcPr>
            <w:tcW w:w="709" w:type="dxa"/>
            <w:vMerge w:val="restart"/>
            <w:shd w:val="clear" w:color="auto" w:fill="auto"/>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15%</w:t>
            </w:r>
          </w:p>
        </w:tc>
        <w:tc>
          <w:tcPr>
            <w:tcW w:w="426"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9</w:t>
            </w:r>
          </w:p>
        </w:tc>
        <w:tc>
          <w:tcPr>
            <w:tcW w:w="2125" w:type="dxa"/>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产学研合作</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重点考核工程中心产学研合作机制，产学研项目的数量与质量，合作单位的数量与行业水平，吸引高水平人才客座研究情况等。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926"/>
        </w:trPr>
        <w:tc>
          <w:tcPr>
            <w:tcW w:w="534" w:type="dxa"/>
            <w:vMerge/>
            <w:vAlign w:val="center"/>
          </w:tcPr>
          <w:p w:rsidR="00090FB5" w:rsidRPr="006B41ED" w:rsidRDefault="00090FB5" w:rsidP="00090FB5">
            <w:pPr>
              <w:widowControl/>
              <w:jc w:val="left"/>
              <w:rPr>
                <w:rFonts w:ascii="宋体" w:eastAsia="宋体" w:hAnsi="宋体" w:cs="宋体"/>
                <w:kern w:val="0"/>
                <w:szCs w:val="21"/>
              </w:rPr>
            </w:pPr>
          </w:p>
        </w:tc>
        <w:tc>
          <w:tcPr>
            <w:tcW w:w="850" w:type="dxa"/>
            <w:vMerge/>
            <w:vAlign w:val="center"/>
          </w:tcPr>
          <w:p w:rsidR="00090FB5" w:rsidRPr="006B41ED" w:rsidRDefault="00090FB5" w:rsidP="00090FB5">
            <w:pPr>
              <w:widowControl/>
              <w:jc w:val="center"/>
              <w:rPr>
                <w:rFonts w:ascii="宋体" w:eastAsia="宋体" w:hAnsi="宋体" w:cs="宋体"/>
                <w:kern w:val="0"/>
                <w:szCs w:val="21"/>
              </w:rPr>
            </w:pPr>
          </w:p>
        </w:tc>
        <w:tc>
          <w:tcPr>
            <w:tcW w:w="709" w:type="dxa"/>
            <w:vMerge/>
            <w:vAlign w:val="center"/>
          </w:tcPr>
          <w:p w:rsidR="00090FB5" w:rsidRPr="006B41ED" w:rsidRDefault="00090FB5" w:rsidP="00090FB5">
            <w:pPr>
              <w:widowControl/>
              <w:jc w:val="left"/>
              <w:rPr>
                <w:rFonts w:ascii="宋体" w:eastAsia="宋体" w:hAnsi="宋体" w:cs="Calibri"/>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宋体"/>
                <w:kern w:val="0"/>
                <w:szCs w:val="21"/>
              </w:rPr>
            </w:pPr>
            <w:r w:rsidRPr="006B41ED">
              <w:rPr>
                <w:rFonts w:ascii="宋体" w:eastAsia="宋体" w:hAnsi="宋体" w:cs="宋体" w:hint="eastAsia"/>
                <w:kern w:val="0"/>
                <w:szCs w:val="21"/>
              </w:rPr>
              <w:t>10</w:t>
            </w:r>
          </w:p>
        </w:tc>
        <w:tc>
          <w:tcPr>
            <w:tcW w:w="2125" w:type="dxa"/>
            <w:shd w:val="clear" w:color="auto" w:fill="auto"/>
            <w:vAlign w:val="center"/>
          </w:tcPr>
          <w:p w:rsidR="00090FB5" w:rsidRPr="006B41ED" w:rsidRDefault="00090FB5" w:rsidP="00090FB5">
            <w:pPr>
              <w:widowControl/>
              <w:rPr>
                <w:rFonts w:ascii="宋体" w:eastAsia="宋体" w:hAnsi="宋体" w:cs="宋体"/>
                <w:kern w:val="0"/>
                <w:szCs w:val="21"/>
              </w:rPr>
            </w:pPr>
            <w:r w:rsidRPr="006B41ED">
              <w:rPr>
                <w:rFonts w:ascii="宋体" w:eastAsia="宋体" w:hAnsi="宋体" w:cs="宋体" w:hint="eastAsia"/>
                <w:kern w:val="0"/>
                <w:szCs w:val="21"/>
              </w:rPr>
              <w:t>内部运行管理</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管理体制和运行机制（如内部人员考核、激励等机制，项目的组织方式，研发体系的构建，科研资料、数据的积累和归档等），主管部门要求的各项相关管理工作完成情况，中心品牌建设及宣传等。</w:t>
            </w:r>
          </w:p>
        </w:tc>
        <w:tc>
          <w:tcPr>
            <w:tcW w:w="850" w:type="dxa"/>
            <w:shd w:val="clear" w:color="auto" w:fill="auto"/>
            <w:vAlign w:val="center"/>
          </w:tcPr>
          <w:p w:rsidR="00090FB5" w:rsidRPr="006B41ED" w:rsidRDefault="00090FB5" w:rsidP="00090FB5">
            <w:pPr>
              <w:widowControl/>
              <w:jc w:val="center"/>
              <w:rPr>
                <w:rFonts w:ascii="Calibri" w:eastAsia="宋体" w:hAnsi="Calibri" w:cs="Calibri"/>
                <w:kern w:val="0"/>
                <w:sz w:val="24"/>
                <w:szCs w:val="21"/>
              </w:rPr>
            </w:pPr>
            <w:r w:rsidRPr="006B41ED">
              <w:rPr>
                <w:rFonts w:ascii="Calibri" w:eastAsia="宋体" w:hAnsi="Calibri" w:cs="Calibri" w:hint="eastAsia"/>
                <w:kern w:val="0"/>
                <w:sz w:val="24"/>
                <w:szCs w:val="21"/>
              </w:rPr>
              <w:t>5</w:t>
            </w:r>
            <w:r w:rsidRPr="006B41ED">
              <w:rPr>
                <w:rFonts w:ascii="Calibri" w:eastAsia="宋体" w:hAnsi="Calibri" w:cs="Calibri"/>
                <w:kern w:val="0"/>
                <w:sz w:val="24"/>
                <w:szCs w:val="21"/>
              </w:rPr>
              <w:t>%</w:t>
            </w:r>
          </w:p>
        </w:tc>
      </w:tr>
    </w:tbl>
    <w:p w:rsidR="00090FB5" w:rsidRDefault="00090FB5" w:rsidP="00090FB5"/>
    <w:sectPr w:rsidR="00090FB5" w:rsidSect="00090FB5">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7E" w:rsidRDefault="0043457E" w:rsidP="00090FB5">
      <w:r>
        <w:separator/>
      </w:r>
    </w:p>
  </w:endnote>
  <w:endnote w:type="continuationSeparator" w:id="1">
    <w:p w:rsidR="0043457E" w:rsidRDefault="0043457E" w:rsidP="00090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7E" w:rsidRDefault="0043457E" w:rsidP="00090FB5">
      <w:r>
        <w:separator/>
      </w:r>
    </w:p>
  </w:footnote>
  <w:footnote w:type="continuationSeparator" w:id="1">
    <w:p w:rsidR="0043457E" w:rsidRDefault="0043457E" w:rsidP="00090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E0E"/>
    <w:rsid w:val="00090FB5"/>
    <w:rsid w:val="003A7F49"/>
    <w:rsid w:val="0043457E"/>
    <w:rsid w:val="004E2E0E"/>
    <w:rsid w:val="006B7787"/>
    <w:rsid w:val="00C06C7A"/>
    <w:rsid w:val="00DD1382"/>
    <w:rsid w:val="00EA3BFE"/>
    <w:rsid w:val="00F759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FB5"/>
    <w:rPr>
      <w:sz w:val="18"/>
      <w:szCs w:val="18"/>
    </w:rPr>
  </w:style>
  <w:style w:type="paragraph" w:styleId="a4">
    <w:name w:val="footer"/>
    <w:basedOn w:val="a"/>
    <w:link w:val="Char0"/>
    <w:uiPriority w:val="99"/>
    <w:unhideWhenUsed/>
    <w:rsid w:val="00090FB5"/>
    <w:pPr>
      <w:tabs>
        <w:tab w:val="center" w:pos="4153"/>
        <w:tab w:val="right" w:pos="8306"/>
      </w:tabs>
      <w:snapToGrid w:val="0"/>
      <w:jc w:val="left"/>
    </w:pPr>
    <w:rPr>
      <w:sz w:val="18"/>
      <w:szCs w:val="18"/>
    </w:rPr>
  </w:style>
  <w:style w:type="character" w:customStyle="1" w:styleId="Char0">
    <w:name w:val="页脚 Char"/>
    <w:basedOn w:val="a0"/>
    <w:link w:val="a4"/>
    <w:uiPriority w:val="99"/>
    <w:rsid w:val="00090FB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万磊</dc:creator>
  <cp:keywords/>
  <dc:description/>
  <cp:lastModifiedBy>Lenovo</cp:lastModifiedBy>
  <cp:revision>4</cp:revision>
  <dcterms:created xsi:type="dcterms:W3CDTF">2019-04-26T05:49:00Z</dcterms:created>
  <dcterms:modified xsi:type="dcterms:W3CDTF">2020-05-26T02:37:00Z</dcterms:modified>
</cp:coreProperties>
</file>