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center"/>
        <w:rPr>
          <w:sz w:val="20"/>
          <w:szCs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fill="FFFFFF"/>
          <w:lang w:val="en-US" w:eastAsia="zh-CN" w:bidi="ar"/>
        </w:rPr>
        <w:t>新建滨江幼儿园绿色建筑项目的流标公告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各投标人：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江阴市教育局的新建滨江幼儿园绿色建筑项目，于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日在“中国江阴党政网站集群：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http://www.jiangyin.gov.cn/c/xzzl.shtml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上发布招标公告，至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时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分投标文件递交截止时间，有效的潜在投标人未满三家，故该项目流标，将进行二次公告。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招标人：江阴市教育局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招标代理：江阴敬业工程造价师事务所有限公司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right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年10月24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34E38"/>
    <w:rsid w:val="1BB022F7"/>
    <w:rsid w:val="2F134E38"/>
    <w:rsid w:val="4CC7224C"/>
    <w:rsid w:val="5E395704"/>
    <w:rsid w:val="6D535020"/>
    <w:rsid w:val="71D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2018-11-07T07:06:00Z</dcterms:created>
  <dc:creator>Administrator</dc:creator>
  <cp:lastModifiedBy>Administrator</cp:lastModifiedBy>
  <dcterms:modified xsi:type="dcterms:W3CDTF">2019-10-23T01:43:26Z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