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19D" w:rsidRPr="003D4EDE" w:rsidRDefault="0083219D" w:rsidP="0083219D">
      <w:pPr>
        <w:pStyle w:val="a"/>
        <w:tabs>
          <w:tab w:val="clear" w:pos="8465"/>
          <w:tab w:val="right" w:pos="8533"/>
        </w:tabs>
        <w:spacing w:line="240" w:lineRule="auto"/>
        <w:ind w:leftChars="100" w:left="31680" w:rightChars="100" w:right="31680"/>
        <w:jc w:val="both"/>
        <w:rPr>
          <w:color w:val="000000"/>
          <w:sz w:val="21"/>
          <w:szCs w:val="21"/>
        </w:rPr>
      </w:pPr>
    </w:p>
    <w:p w:rsidR="0083219D" w:rsidRPr="003D4EDE" w:rsidRDefault="0083219D" w:rsidP="00A675E7">
      <w:pPr>
        <w:pStyle w:val="a"/>
        <w:tabs>
          <w:tab w:val="clear" w:pos="8465"/>
          <w:tab w:val="right" w:pos="8533"/>
        </w:tabs>
        <w:spacing w:line="240" w:lineRule="auto"/>
        <w:ind w:leftChars="100" w:left="31680" w:rightChars="100" w:right="31680"/>
        <w:jc w:val="both"/>
        <w:rPr>
          <w:color w:val="000000"/>
          <w:sz w:val="21"/>
          <w:szCs w:val="21"/>
        </w:rPr>
      </w:pPr>
    </w:p>
    <w:p w:rsidR="0083219D" w:rsidRPr="003D4EDE" w:rsidRDefault="0083219D" w:rsidP="00A57111">
      <w:pPr>
        <w:pStyle w:val="a0"/>
        <w:snapToGrid/>
        <w:spacing w:line="240" w:lineRule="exact"/>
        <w:ind w:left="1339" w:right="159" w:hanging="1021"/>
        <w:jc w:val="both"/>
        <w:rPr>
          <w:rFonts w:ascii="Times New Roman"/>
          <w:color w:val="000000"/>
          <w:w w:val="80"/>
          <w:sz w:val="44"/>
          <w:szCs w:val="44"/>
        </w:rPr>
      </w:pPr>
    </w:p>
    <w:p w:rsidR="0083219D" w:rsidRPr="003D4EDE" w:rsidRDefault="0083219D" w:rsidP="00A57111">
      <w:pPr>
        <w:spacing w:line="520" w:lineRule="exact"/>
        <w:jc w:val="center"/>
        <w:rPr>
          <w:b/>
          <w:bCs/>
          <w:color w:val="000000"/>
          <w:w w:val="80"/>
          <w:sz w:val="44"/>
          <w:szCs w:val="4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1.7pt;width:425.2pt;height:98.2pt;z-index:251656704;visibility:visible;mso-position-horizontal:center" filled="f" stroked="f">
            <v:textbox style="mso-next-textbox:#_x0000_s1026" inset="0,0,0,0">
              <w:txbxContent>
                <w:p w:rsidR="0083219D" w:rsidRPr="002F7E1A" w:rsidRDefault="0083219D" w:rsidP="00A675E7">
                  <w:pPr>
                    <w:spacing w:line="240" w:lineRule="atLeast"/>
                    <w:ind w:leftChars="50" w:left="31680" w:rightChars="50" w:right="31680"/>
                    <w:jc w:val="distribute"/>
                    <w:rPr>
                      <w:rFonts w:ascii="方正小标宋_GBK" w:eastAsia="方正小标宋_GBK"/>
                      <w:b/>
                      <w:color w:val="FF0000"/>
                      <w:w w:val="75"/>
                      <w:sz w:val="120"/>
                      <w:szCs w:val="120"/>
                    </w:rPr>
                  </w:pPr>
                  <w:r w:rsidRPr="002F7E1A">
                    <w:rPr>
                      <w:rFonts w:ascii="方正小标宋_GBK" w:eastAsia="方正小标宋_GBK" w:hint="eastAsia"/>
                      <w:b/>
                      <w:color w:val="FF0000"/>
                      <w:w w:val="75"/>
                      <w:sz w:val="120"/>
                      <w:szCs w:val="120"/>
                    </w:rPr>
                    <w:t>江阴市司法局文件</w:t>
                  </w:r>
                </w:p>
              </w:txbxContent>
            </v:textbox>
          </v:shape>
        </w:pict>
      </w:r>
    </w:p>
    <w:p w:rsidR="0083219D" w:rsidRPr="003D4EDE" w:rsidRDefault="0083219D" w:rsidP="00A57111">
      <w:pPr>
        <w:spacing w:line="460" w:lineRule="exact"/>
        <w:jc w:val="center"/>
        <w:rPr>
          <w:b/>
          <w:bCs/>
          <w:color w:val="000000"/>
          <w:w w:val="80"/>
          <w:sz w:val="44"/>
          <w:szCs w:val="44"/>
        </w:rPr>
      </w:pPr>
    </w:p>
    <w:p w:rsidR="0083219D" w:rsidRPr="003D4EDE" w:rsidRDefault="0083219D" w:rsidP="00A57111">
      <w:pPr>
        <w:jc w:val="center"/>
        <w:rPr>
          <w:b/>
          <w:bCs/>
          <w:color w:val="000000"/>
          <w:w w:val="80"/>
        </w:rPr>
      </w:pPr>
    </w:p>
    <w:p w:rsidR="0083219D" w:rsidRPr="003D4EDE" w:rsidRDefault="0083219D" w:rsidP="00A57111">
      <w:pPr>
        <w:jc w:val="center"/>
        <w:rPr>
          <w:b/>
          <w:bCs/>
          <w:color w:val="000000"/>
          <w:w w:val="80"/>
        </w:rPr>
      </w:pPr>
    </w:p>
    <w:p w:rsidR="0083219D" w:rsidRPr="003D4EDE" w:rsidRDefault="0083219D" w:rsidP="00CB5402">
      <w:pPr>
        <w:spacing w:line="288" w:lineRule="auto"/>
        <w:jc w:val="center"/>
        <w:rPr>
          <w:b/>
          <w:bCs/>
          <w:color w:val="000000"/>
          <w:w w:val="80"/>
        </w:rPr>
      </w:pPr>
    </w:p>
    <w:p w:rsidR="0083219D" w:rsidRPr="00B20498" w:rsidRDefault="0083219D" w:rsidP="00B20498">
      <w:pPr>
        <w:jc w:val="center"/>
      </w:pPr>
      <w:r w:rsidRPr="00B20498">
        <w:rPr>
          <w:rFonts w:hint="eastAsia"/>
        </w:rPr>
        <w:t>澄司〔</w:t>
      </w:r>
      <w:r w:rsidRPr="00B20498">
        <w:t>2019</w:t>
      </w:r>
      <w:r w:rsidRPr="00B20498">
        <w:rPr>
          <w:rFonts w:hint="eastAsia"/>
        </w:rPr>
        <w:t>〕</w:t>
      </w:r>
      <w:r w:rsidRPr="00B20498">
        <w:t>49</w:t>
      </w:r>
      <w:r w:rsidRPr="00B20498">
        <w:rPr>
          <w:rFonts w:hint="eastAsia"/>
        </w:rPr>
        <w:t>号</w:t>
      </w:r>
    </w:p>
    <w:p w:rsidR="0083219D" w:rsidRPr="003D4EDE" w:rsidRDefault="0083219D" w:rsidP="00A675E7">
      <w:pPr>
        <w:spacing w:line="460" w:lineRule="exact"/>
        <w:ind w:rightChars="-1" w:right="31680"/>
        <w:jc w:val="center"/>
        <w:rPr>
          <w:rFonts w:eastAsia="华文中宋"/>
          <w:color w:val="000000"/>
          <w:sz w:val="44"/>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0;margin-top:6.45pt;width:442.2pt;height:0;z-index:251655680" o:connectortype="straight" strokecolor="red" strokeweight="2pt"/>
        </w:pict>
      </w:r>
    </w:p>
    <w:p w:rsidR="0083219D" w:rsidRDefault="0083219D" w:rsidP="00A675E7">
      <w:pPr>
        <w:pStyle w:val="a"/>
        <w:tabs>
          <w:tab w:val="clear" w:pos="8465"/>
          <w:tab w:val="right" w:pos="8533"/>
        </w:tabs>
        <w:spacing w:line="240" w:lineRule="auto"/>
        <w:ind w:leftChars="100" w:left="31680" w:rightChars="100" w:right="31680"/>
        <w:jc w:val="both"/>
        <w:rPr>
          <w:color w:val="000000"/>
          <w:sz w:val="21"/>
          <w:szCs w:val="21"/>
        </w:rPr>
      </w:pPr>
    </w:p>
    <w:p w:rsidR="0083219D" w:rsidRPr="00B20498" w:rsidRDefault="0083219D" w:rsidP="001A456F">
      <w:pPr>
        <w:pStyle w:val="a"/>
        <w:tabs>
          <w:tab w:val="clear" w:pos="8465"/>
          <w:tab w:val="right" w:pos="8533"/>
        </w:tabs>
        <w:spacing w:afterLines="80" w:line="700" w:lineRule="exact"/>
        <w:ind w:left="0" w:right="0"/>
        <w:jc w:val="center"/>
        <w:rPr>
          <w:rFonts w:ascii="方正小标宋_GBK" w:eastAsia="方正小标宋_GBK"/>
          <w:bCs/>
          <w:kern w:val="0"/>
          <w:sz w:val="44"/>
          <w:szCs w:val="44"/>
        </w:rPr>
      </w:pPr>
      <w:r w:rsidRPr="00B20498">
        <w:rPr>
          <w:rFonts w:ascii="方正小标宋_GBK" w:eastAsia="方正小标宋_GBK" w:hint="eastAsia"/>
          <w:bCs/>
          <w:kern w:val="0"/>
          <w:sz w:val="44"/>
          <w:szCs w:val="44"/>
        </w:rPr>
        <w:t>关于推进“一所五站点”建设的通知</w:t>
      </w:r>
    </w:p>
    <w:p w:rsidR="0083219D" w:rsidRPr="00B20498" w:rsidRDefault="0083219D" w:rsidP="00A57111">
      <w:pPr>
        <w:rPr>
          <w:rFonts w:ascii="方正楷体_GBK" w:eastAsia="方正楷体_GBK" w:hAnsi="楷体"/>
          <w:bCs/>
          <w:kern w:val="0"/>
          <w:szCs w:val="32"/>
        </w:rPr>
      </w:pPr>
      <w:r w:rsidRPr="00B20498">
        <w:rPr>
          <w:rFonts w:ascii="方正楷体_GBK" w:eastAsia="方正楷体_GBK" w:hAnsi="楷体" w:hint="eastAsia"/>
          <w:bCs/>
          <w:kern w:val="0"/>
          <w:szCs w:val="32"/>
        </w:rPr>
        <w:t>各司法所，局机关各科室：</w:t>
      </w:r>
    </w:p>
    <w:p w:rsidR="0083219D" w:rsidRPr="00B20498" w:rsidRDefault="0083219D" w:rsidP="00A675E7">
      <w:pPr>
        <w:adjustRightInd w:val="0"/>
        <w:ind w:firstLineChars="200" w:firstLine="31680"/>
      </w:pPr>
      <w:r w:rsidRPr="00B20498">
        <w:rPr>
          <w:rFonts w:hint="eastAsia"/>
        </w:rPr>
        <w:t>根据省厅《关于印发〈关于全面推进司法行政基层基础建设高质量发展的方案〉（</w:t>
      </w:r>
      <w:r w:rsidRPr="00B20498">
        <w:t>2019</w:t>
      </w:r>
      <w:r w:rsidRPr="00B20498">
        <w:rPr>
          <w:rFonts w:hint="eastAsia"/>
        </w:rPr>
        <w:t>－</w:t>
      </w:r>
      <w:r w:rsidRPr="00B20498">
        <w:t>2021</w:t>
      </w:r>
      <w:r w:rsidRPr="00B20498">
        <w:rPr>
          <w:rFonts w:hint="eastAsia"/>
        </w:rPr>
        <w:t>）的通知》、《</w:t>
      </w:r>
      <w:r w:rsidRPr="00B20498">
        <w:t>2019</w:t>
      </w:r>
      <w:r w:rsidRPr="00B20498">
        <w:rPr>
          <w:rFonts w:hint="eastAsia"/>
        </w:rPr>
        <w:t>年度县（市、区）司法局绩效评价标准》的要求和精神，结合司法行政机构改革后司法所新的职责和职能，进一步规范司法所建设，健全资源优化整合机制，抓好“一所五站点”建设，不断提升基层司法行政服务能力。现将推进“一所五站点”建设的通知如下：</w:t>
      </w:r>
    </w:p>
    <w:p w:rsidR="0083219D" w:rsidRPr="00B20498" w:rsidRDefault="0083219D" w:rsidP="00A57111">
      <w:pPr>
        <w:widowControl/>
        <w:spacing w:line="560" w:lineRule="atLeast"/>
        <w:ind w:firstLine="640"/>
        <w:jc w:val="left"/>
        <w:textAlignment w:val="baseline"/>
        <w:rPr>
          <w:rFonts w:ascii="方正黑体_GBK" w:eastAsia="方正黑体_GBK"/>
          <w:color w:val="000000"/>
          <w:kern w:val="0"/>
          <w:szCs w:val="21"/>
        </w:rPr>
      </w:pPr>
      <w:r w:rsidRPr="00B20498">
        <w:rPr>
          <w:rFonts w:ascii="方正黑体_GBK" w:eastAsia="方正黑体_GBK" w:hAnsi="黑体" w:hint="eastAsia"/>
          <w:color w:val="000000"/>
          <w:kern w:val="0"/>
          <w:szCs w:val="32"/>
          <w:bdr w:val="none" w:sz="0" w:space="0" w:color="auto" w:frame="1"/>
        </w:rPr>
        <w:t>一、指导思想</w:t>
      </w:r>
    </w:p>
    <w:p w:rsidR="0083219D" w:rsidRPr="00B20498" w:rsidRDefault="0083219D" w:rsidP="00A675E7">
      <w:pPr>
        <w:adjustRightInd w:val="0"/>
        <w:ind w:firstLineChars="200" w:firstLine="31680"/>
      </w:pPr>
      <w:r w:rsidRPr="00B20498">
        <w:rPr>
          <w:rFonts w:hint="eastAsia"/>
        </w:rPr>
        <w:t>坚持以习近平新时代中国特色社会主义思想为指引，深入贯彻党的十九大、十九届二中、三中全会精神和全省司法所暨坚持发展“枫桥经验”实现矛盾不上交工作会议部署要求，认真落实省厅《关于印发〈关于全面推进司法行政基层基础建设高质量发展的方案〉（</w:t>
      </w:r>
      <w:r w:rsidRPr="00B20498">
        <w:t>2019</w:t>
      </w:r>
      <w:r w:rsidRPr="00B20498">
        <w:rPr>
          <w:rFonts w:hint="eastAsia"/>
        </w:rPr>
        <w:t>－</w:t>
      </w:r>
      <w:r w:rsidRPr="00B20498">
        <w:t>2021</w:t>
      </w:r>
      <w:r w:rsidRPr="00B20498">
        <w:rPr>
          <w:rFonts w:hint="eastAsia"/>
        </w:rPr>
        <w:t>）的通知》的精神，以基层司法所为基础，落实立法民意收集，执法监督，镇（街）重要决策、规范性文件、政府重大事项合法性审查等新增职能，建立健全“一所五站点”，为履行“一个统筹、四大职能”，推动司法行政工作高质量发展筑牢根基，为建设强富美高新江阴作出贡献。</w:t>
      </w:r>
    </w:p>
    <w:p w:rsidR="0083219D" w:rsidRPr="00B20498" w:rsidRDefault="0083219D" w:rsidP="00B20498">
      <w:pPr>
        <w:widowControl/>
        <w:spacing w:line="560" w:lineRule="atLeast"/>
        <w:ind w:firstLine="640"/>
        <w:jc w:val="left"/>
        <w:textAlignment w:val="baseline"/>
        <w:rPr>
          <w:rFonts w:ascii="方正黑体_GBK" w:eastAsia="方正黑体_GBK" w:hAnsi="黑体"/>
          <w:color w:val="000000"/>
          <w:kern w:val="0"/>
          <w:szCs w:val="32"/>
          <w:bdr w:val="none" w:sz="0" w:space="0" w:color="auto" w:frame="1"/>
        </w:rPr>
      </w:pPr>
      <w:r w:rsidRPr="00B20498">
        <w:rPr>
          <w:rFonts w:ascii="方正黑体_GBK" w:eastAsia="方正黑体_GBK" w:hAnsi="黑体" w:hint="eastAsia"/>
          <w:color w:val="000000"/>
          <w:kern w:val="0"/>
          <w:szCs w:val="32"/>
          <w:bdr w:val="none" w:sz="0" w:space="0" w:color="auto" w:frame="1"/>
        </w:rPr>
        <w:t>二、工作目标任务</w:t>
      </w:r>
    </w:p>
    <w:p w:rsidR="0083219D" w:rsidRPr="00B20498" w:rsidRDefault="0083219D" w:rsidP="00A675E7">
      <w:pPr>
        <w:adjustRightInd w:val="0"/>
        <w:ind w:firstLineChars="200" w:firstLine="31680"/>
      </w:pPr>
      <w:r w:rsidRPr="00B20498">
        <w:t>1</w:t>
      </w:r>
      <w:r w:rsidRPr="00B20498">
        <w:rPr>
          <w:rFonts w:hint="eastAsia"/>
        </w:rPr>
        <w:t>、</w:t>
      </w:r>
      <w:r w:rsidRPr="00B20498">
        <w:rPr>
          <w:rFonts w:eastAsia="方正楷体_GBK" w:hint="eastAsia"/>
        </w:rPr>
        <w:t>工作目标。</w:t>
      </w:r>
      <w:r w:rsidRPr="00B20498">
        <w:rPr>
          <w:rFonts w:hint="eastAsia"/>
        </w:rPr>
        <w:t>通过设立“一所五站点”，为司法所全面履行“一个统筹、四大职能”，不断拓宽服务渠道，提升服务覆盖面奠定良好基础。</w:t>
      </w:r>
    </w:p>
    <w:p w:rsidR="0083219D" w:rsidRPr="00B20498" w:rsidRDefault="0083219D" w:rsidP="00A675E7">
      <w:pPr>
        <w:adjustRightInd w:val="0"/>
        <w:ind w:firstLineChars="200" w:firstLine="31680"/>
      </w:pPr>
      <w:r w:rsidRPr="00B20498">
        <w:t>2</w:t>
      </w:r>
      <w:r w:rsidRPr="00B20498">
        <w:rPr>
          <w:rFonts w:hint="eastAsia"/>
        </w:rPr>
        <w:t>、</w:t>
      </w:r>
      <w:r w:rsidRPr="00B20498">
        <w:rPr>
          <w:rFonts w:eastAsia="方正楷体_GBK" w:hint="eastAsia"/>
        </w:rPr>
        <w:t>工作任务</w:t>
      </w:r>
    </w:p>
    <w:p w:rsidR="0083219D" w:rsidRPr="00B20498" w:rsidRDefault="0083219D" w:rsidP="00A675E7">
      <w:pPr>
        <w:adjustRightInd w:val="0"/>
        <w:ind w:firstLineChars="200" w:firstLine="31680"/>
      </w:pPr>
      <w:r w:rsidRPr="00B20498">
        <w:rPr>
          <w:rFonts w:hint="eastAsia"/>
        </w:rPr>
        <w:t>（</w:t>
      </w:r>
      <w:r w:rsidRPr="00B20498">
        <w:t>1</w:t>
      </w:r>
      <w:r w:rsidRPr="00B20498">
        <w:rPr>
          <w:rFonts w:hint="eastAsia"/>
        </w:rPr>
        <w:t>）在镇（街道）公共法律服务中心设立公证协办点、法律援助代办点、仲裁业务联系点、行政复议受理点、立法民意收集点等窗口，并有明显的标识标牌。</w:t>
      </w:r>
    </w:p>
    <w:p w:rsidR="0083219D" w:rsidRPr="00B20498" w:rsidRDefault="0083219D" w:rsidP="00A675E7">
      <w:pPr>
        <w:adjustRightInd w:val="0"/>
        <w:ind w:firstLineChars="200" w:firstLine="31680"/>
      </w:pPr>
      <w:r w:rsidRPr="00B20498">
        <w:rPr>
          <w:rFonts w:hint="eastAsia"/>
        </w:rPr>
        <w:t>（</w:t>
      </w:r>
      <w:r w:rsidRPr="00B20498">
        <w:t>2</w:t>
      </w:r>
      <w:r w:rsidRPr="00B20498">
        <w:rPr>
          <w:rFonts w:hint="eastAsia"/>
        </w:rPr>
        <w:t>）健全五站点具体服务事项，按照“前店后场”服务要求，在站点公示服务内容、服务时间，在窗口提供服务事项所必需的表格、服务指南和资料。</w:t>
      </w:r>
    </w:p>
    <w:p w:rsidR="0083219D" w:rsidRPr="00B20498" w:rsidRDefault="0083219D" w:rsidP="00B20498">
      <w:pPr>
        <w:widowControl/>
        <w:spacing w:line="560" w:lineRule="atLeast"/>
        <w:ind w:firstLine="640"/>
        <w:jc w:val="left"/>
        <w:textAlignment w:val="baseline"/>
        <w:rPr>
          <w:rFonts w:ascii="方正黑体_GBK" w:eastAsia="方正黑体_GBK" w:hAnsi="黑体"/>
          <w:color w:val="000000"/>
          <w:kern w:val="0"/>
          <w:szCs w:val="32"/>
          <w:bdr w:val="none" w:sz="0" w:space="0" w:color="auto" w:frame="1"/>
        </w:rPr>
      </w:pPr>
      <w:r w:rsidRPr="00B20498">
        <w:rPr>
          <w:rFonts w:ascii="方正黑体_GBK" w:eastAsia="方正黑体_GBK" w:hAnsi="黑体" w:hint="eastAsia"/>
          <w:color w:val="000000"/>
          <w:kern w:val="0"/>
          <w:szCs w:val="32"/>
          <w:bdr w:val="none" w:sz="0" w:space="0" w:color="auto" w:frame="1"/>
        </w:rPr>
        <w:t>三、方法步骤</w:t>
      </w:r>
    </w:p>
    <w:p w:rsidR="0083219D" w:rsidRPr="00B20498" w:rsidRDefault="0083219D" w:rsidP="00A675E7">
      <w:pPr>
        <w:adjustRightInd w:val="0"/>
        <w:ind w:firstLineChars="200" w:firstLine="31680"/>
      </w:pPr>
      <w:r w:rsidRPr="00B20498">
        <w:t>1</w:t>
      </w:r>
      <w:r w:rsidRPr="00B20498">
        <w:rPr>
          <w:rFonts w:hint="eastAsia"/>
        </w:rPr>
        <w:t>、</w:t>
      </w:r>
      <w:r w:rsidRPr="00B20498">
        <w:rPr>
          <w:rFonts w:eastAsia="方正楷体_GBK" w:hint="eastAsia"/>
        </w:rPr>
        <w:t>掌握要求，积极谋划（</w:t>
      </w:r>
      <w:r w:rsidRPr="00B20498">
        <w:rPr>
          <w:rFonts w:eastAsia="方正楷体_GBK"/>
        </w:rPr>
        <w:t>8</w:t>
      </w:r>
      <w:r w:rsidRPr="00B20498">
        <w:rPr>
          <w:rFonts w:eastAsia="方正楷体_GBK" w:hint="eastAsia"/>
        </w:rPr>
        <w:t>月底）。</w:t>
      </w:r>
      <w:r w:rsidRPr="00B20498">
        <w:rPr>
          <w:rFonts w:hint="eastAsia"/>
        </w:rPr>
        <w:t>各司法所和相关科室，要认真学习对照《</w:t>
      </w:r>
      <w:r w:rsidRPr="00B20498">
        <w:t>2019</w:t>
      </w:r>
      <w:r w:rsidRPr="00B20498">
        <w:rPr>
          <w:rFonts w:hint="eastAsia"/>
        </w:rPr>
        <w:t>年度县（市、区）司法局绩效评价标准》和《全市司法行政基层基础建设高质量发展任务分解及推进计划表》的内容和要求，深刻领会各项指标中具体要求和推进进度，积极谋划工作举措和实施方法，确保领会不偏差、举措切实际、推进有方法。</w:t>
      </w:r>
    </w:p>
    <w:p w:rsidR="0083219D" w:rsidRPr="00B20498" w:rsidRDefault="0083219D" w:rsidP="00A675E7">
      <w:pPr>
        <w:adjustRightInd w:val="0"/>
        <w:ind w:firstLineChars="200" w:firstLine="31680"/>
      </w:pPr>
      <w:r w:rsidRPr="00B20498">
        <w:t>2</w:t>
      </w:r>
      <w:r w:rsidRPr="00B20498">
        <w:rPr>
          <w:rFonts w:hint="eastAsia"/>
        </w:rPr>
        <w:t>、</w:t>
      </w:r>
      <w:r w:rsidRPr="00B20498">
        <w:rPr>
          <w:rFonts w:eastAsia="方正楷体_GBK" w:hint="eastAsia"/>
        </w:rPr>
        <w:t>上墙公示，统一标牌（</w:t>
      </w:r>
      <w:r w:rsidRPr="00B20498">
        <w:rPr>
          <w:rFonts w:eastAsia="方正楷体_GBK"/>
        </w:rPr>
        <w:t>9</w:t>
      </w:r>
      <w:r w:rsidRPr="00B20498">
        <w:rPr>
          <w:rFonts w:eastAsia="方正楷体_GBK" w:hint="eastAsia"/>
        </w:rPr>
        <w:t>月上旬）。</w:t>
      </w:r>
      <w:r w:rsidRPr="00B20498">
        <w:rPr>
          <w:rFonts w:hint="eastAsia"/>
        </w:rPr>
        <w:t>制作“五站点”标牌和司法所职责任务清单上墙内容，各司法所根据实际在服务窗口摆放“五站点”标牌，上墙公示司法所职责任务清单。</w:t>
      </w:r>
    </w:p>
    <w:p w:rsidR="0083219D" w:rsidRPr="00B20498" w:rsidRDefault="0083219D" w:rsidP="00A675E7">
      <w:pPr>
        <w:adjustRightInd w:val="0"/>
        <w:ind w:firstLineChars="200" w:firstLine="31680"/>
      </w:pPr>
      <w:r w:rsidRPr="00B20498">
        <w:t>3</w:t>
      </w:r>
      <w:r w:rsidRPr="00B20498">
        <w:rPr>
          <w:rFonts w:hint="eastAsia"/>
        </w:rPr>
        <w:t>、</w:t>
      </w:r>
      <w:r w:rsidRPr="00B20498">
        <w:rPr>
          <w:rFonts w:eastAsia="方正楷体_GBK" w:hint="eastAsia"/>
        </w:rPr>
        <w:t>健全</w:t>
      </w:r>
      <w:r w:rsidRPr="00B20498">
        <w:rPr>
          <w:rFonts w:ascii="方正楷体_GBK" w:eastAsia="方正楷体_GBK" w:hint="eastAsia"/>
        </w:rPr>
        <w:t>“五站点”具</w:t>
      </w:r>
      <w:r w:rsidRPr="00B20498">
        <w:rPr>
          <w:rFonts w:eastAsia="方正楷体_GBK" w:hint="eastAsia"/>
        </w:rPr>
        <w:t>体服务内容（</w:t>
      </w:r>
      <w:r w:rsidRPr="00B20498">
        <w:rPr>
          <w:rFonts w:eastAsia="方正楷体_GBK"/>
        </w:rPr>
        <w:t>9</w:t>
      </w:r>
      <w:r w:rsidRPr="00B20498">
        <w:rPr>
          <w:rFonts w:eastAsia="方正楷体_GBK" w:hint="eastAsia"/>
        </w:rPr>
        <w:t>月中旬）。</w:t>
      </w:r>
      <w:r w:rsidRPr="00B20498">
        <w:rPr>
          <w:rFonts w:hint="eastAsia"/>
        </w:rPr>
        <w:t>各司法所根据工作实际，制定“五站点”服务具体事项，包括：服务范围、服务时间安排、相关机构或人员联系方式、代办事项须知以及相关表格的填写，向有需求的人员提供服务指南、咨询和资料。</w:t>
      </w:r>
    </w:p>
    <w:p w:rsidR="0083219D" w:rsidRPr="00B20498" w:rsidRDefault="0083219D" w:rsidP="00A675E7">
      <w:pPr>
        <w:adjustRightInd w:val="0"/>
        <w:ind w:firstLineChars="200" w:firstLine="31680"/>
      </w:pPr>
      <w:r w:rsidRPr="00B20498">
        <w:t>4</w:t>
      </w:r>
      <w:r w:rsidRPr="00B20498">
        <w:rPr>
          <w:rFonts w:hint="eastAsia"/>
        </w:rPr>
        <w:t>、</w:t>
      </w:r>
      <w:r w:rsidRPr="00B20498">
        <w:rPr>
          <w:rFonts w:eastAsia="方正楷体_GBK" w:hint="eastAsia"/>
        </w:rPr>
        <w:t>完</w:t>
      </w:r>
      <w:r w:rsidRPr="00B20498">
        <w:rPr>
          <w:rFonts w:ascii="方正楷体_GBK" w:eastAsia="方正楷体_GBK" w:hint="eastAsia"/>
        </w:rPr>
        <w:t>善“五站点”服</w:t>
      </w:r>
      <w:r w:rsidRPr="00B20498">
        <w:rPr>
          <w:rFonts w:eastAsia="方正楷体_GBK" w:hint="eastAsia"/>
        </w:rPr>
        <w:t>务机制（</w:t>
      </w:r>
      <w:r w:rsidRPr="00B20498">
        <w:rPr>
          <w:rFonts w:eastAsia="方正楷体_GBK"/>
        </w:rPr>
        <w:t>9</w:t>
      </w:r>
      <w:r w:rsidRPr="00B20498">
        <w:rPr>
          <w:rFonts w:eastAsia="方正楷体_GBK" w:hint="eastAsia"/>
        </w:rPr>
        <w:t>月中旬－</w:t>
      </w:r>
      <w:r w:rsidRPr="00B20498">
        <w:rPr>
          <w:rFonts w:eastAsia="方正楷体_GBK"/>
        </w:rPr>
        <w:t>10</w:t>
      </w:r>
      <w:r w:rsidRPr="00B20498">
        <w:rPr>
          <w:rFonts w:eastAsia="方正楷体_GBK" w:hint="eastAsia"/>
        </w:rPr>
        <w:t>月底）。</w:t>
      </w:r>
      <w:r w:rsidRPr="00B20498">
        <w:rPr>
          <w:rFonts w:hint="eastAsia"/>
        </w:rPr>
        <w:t>各司法所在运行“五站点”过程中，及时发现出现的问题，并根据本地实际不断完善“五站点”服务事项，使“五站点”建设更加突出本地特色，更加符合当地实际。</w:t>
      </w:r>
    </w:p>
    <w:p w:rsidR="0083219D" w:rsidRPr="00B20498" w:rsidRDefault="0083219D" w:rsidP="00A675E7">
      <w:pPr>
        <w:adjustRightInd w:val="0"/>
        <w:ind w:firstLineChars="200" w:firstLine="31680"/>
      </w:pPr>
      <w:r w:rsidRPr="00B20498">
        <w:t>5</w:t>
      </w:r>
      <w:r w:rsidRPr="00B20498">
        <w:rPr>
          <w:rFonts w:hint="eastAsia"/>
        </w:rPr>
        <w:t>、</w:t>
      </w:r>
      <w:r w:rsidRPr="00B20498">
        <w:rPr>
          <w:rFonts w:eastAsia="方正楷体_GBK" w:hint="eastAsia"/>
        </w:rPr>
        <w:t>认真总结，不断提升（</w:t>
      </w:r>
      <w:r w:rsidRPr="00B20498">
        <w:rPr>
          <w:rFonts w:eastAsia="方正楷体_GBK"/>
        </w:rPr>
        <w:t>11</w:t>
      </w:r>
      <w:r w:rsidRPr="00B20498">
        <w:rPr>
          <w:rFonts w:eastAsia="方正楷体_GBK" w:hint="eastAsia"/>
        </w:rPr>
        <w:t>月底）。</w:t>
      </w:r>
      <w:r w:rsidRPr="00B20498">
        <w:rPr>
          <w:rFonts w:hint="eastAsia"/>
        </w:rPr>
        <w:t>各司法所要全面总结落实司法所新增职能、推进“一所五站点”建设的经验成效，对推广可复制的经验做法及特色亮点工作加以巩固和推广应用，推动服务机制更加健全完善、工作长效规范，为基层司法行政工作高质量、创新性发展奠定基础。</w:t>
      </w:r>
    </w:p>
    <w:p w:rsidR="0083219D" w:rsidRPr="00B20498" w:rsidRDefault="0083219D" w:rsidP="00B20498">
      <w:pPr>
        <w:widowControl/>
        <w:spacing w:line="560" w:lineRule="atLeast"/>
        <w:ind w:firstLine="640"/>
        <w:jc w:val="left"/>
        <w:textAlignment w:val="baseline"/>
        <w:rPr>
          <w:rFonts w:ascii="方正黑体_GBK" w:eastAsia="方正黑体_GBK" w:hAnsi="黑体"/>
          <w:color w:val="000000"/>
          <w:kern w:val="0"/>
          <w:szCs w:val="32"/>
          <w:bdr w:val="none" w:sz="0" w:space="0" w:color="auto" w:frame="1"/>
        </w:rPr>
      </w:pPr>
      <w:r>
        <w:rPr>
          <w:rFonts w:ascii="方正黑体_GBK" w:eastAsia="方正黑体_GBK" w:hAnsi="黑体" w:hint="eastAsia"/>
          <w:color w:val="000000"/>
          <w:kern w:val="0"/>
          <w:szCs w:val="32"/>
          <w:bdr w:val="none" w:sz="0" w:space="0" w:color="auto" w:frame="1"/>
        </w:rPr>
        <w:t>四</w:t>
      </w:r>
      <w:r w:rsidRPr="00B20498">
        <w:rPr>
          <w:rFonts w:ascii="方正黑体_GBK" w:eastAsia="方正黑体_GBK" w:hAnsi="黑体" w:hint="eastAsia"/>
          <w:color w:val="000000"/>
          <w:kern w:val="0"/>
          <w:szCs w:val="32"/>
          <w:bdr w:val="none" w:sz="0" w:space="0" w:color="auto" w:frame="1"/>
        </w:rPr>
        <w:t>、工作要求</w:t>
      </w:r>
    </w:p>
    <w:p w:rsidR="0083219D" w:rsidRPr="00B20498" w:rsidRDefault="0083219D" w:rsidP="00A675E7">
      <w:pPr>
        <w:adjustRightInd w:val="0"/>
        <w:ind w:firstLineChars="200" w:firstLine="31680"/>
      </w:pPr>
      <w:r w:rsidRPr="00B20498">
        <w:t>1</w:t>
      </w:r>
      <w:r w:rsidRPr="00B20498">
        <w:rPr>
          <w:rFonts w:hint="eastAsia"/>
        </w:rPr>
        <w:t>、</w:t>
      </w:r>
      <w:r w:rsidRPr="00B20498">
        <w:rPr>
          <w:rFonts w:eastAsia="方正楷体_GBK" w:hint="eastAsia"/>
        </w:rPr>
        <w:t>高度重视，推动形成工作合力。</w:t>
      </w:r>
      <w:r w:rsidRPr="00B20498">
        <w:rPr>
          <w:rFonts w:hint="eastAsia"/>
        </w:rPr>
        <w:t>落实司法所新增职能，推进“一所五站点”建设是省厅推进基层基础建设高质量发展的要求，机关相关科室要根据任务分工，落实专人，来建立完善站点各项制度和服务具体事项，各司法所要在实践中不断总结经验，提出改进措施，确保工作顺利开展、取得实效。</w:t>
      </w:r>
    </w:p>
    <w:p w:rsidR="0083219D" w:rsidRPr="00B20498" w:rsidRDefault="0083219D" w:rsidP="00A675E7">
      <w:pPr>
        <w:adjustRightInd w:val="0"/>
        <w:ind w:firstLineChars="200" w:firstLine="31680"/>
      </w:pPr>
      <w:r w:rsidRPr="00B20498">
        <w:t>2</w:t>
      </w:r>
      <w:r w:rsidRPr="00B20498">
        <w:rPr>
          <w:rFonts w:hint="eastAsia"/>
        </w:rPr>
        <w:t>、</w:t>
      </w:r>
      <w:r w:rsidRPr="00B20498">
        <w:rPr>
          <w:rFonts w:eastAsia="方正楷体_GBK" w:hint="eastAsia"/>
        </w:rPr>
        <w:t>加强宣传，强化信息报送。</w:t>
      </w:r>
      <w:r w:rsidRPr="00B20498">
        <w:rPr>
          <w:rFonts w:hint="eastAsia"/>
        </w:rPr>
        <w:t>各司法所要树立信息引领工作的理念，利用新闻媒体、网络等载体及时报道在推进工作中好的经验做法，扩大工作影响，形成工作亮点。</w:t>
      </w:r>
    </w:p>
    <w:p w:rsidR="0083219D" w:rsidRPr="00B20498" w:rsidRDefault="0083219D" w:rsidP="00A675E7">
      <w:pPr>
        <w:adjustRightInd w:val="0"/>
        <w:ind w:firstLineChars="200" w:firstLine="31680"/>
      </w:pPr>
    </w:p>
    <w:p w:rsidR="0083219D" w:rsidRPr="00B20498" w:rsidRDefault="0083219D" w:rsidP="00A675E7">
      <w:pPr>
        <w:adjustRightInd w:val="0"/>
        <w:ind w:firstLineChars="200" w:firstLine="3168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8" type="#_x0000_t75" alt="司法局.png" style="position:absolute;left:0;text-align:left;margin-left:235.25pt;margin-top:19.8pt;width:149pt;height:152.35pt;z-index:251659776;visibility:visible">
            <v:imagedata r:id="rId6" o:title="" croptop="16419f" cropbottom="20383f" cropleft="21057f" cropright="20938f"/>
          </v:shape>
        </w:pict>
      </w:r>
      <w:r w:rsidRPr="00B20498">
        <w:rPr>
          <w:rFonts w:hint="eastAsia"/>
        </w:rPr>
        <w:t>附</w:t>
      </w:r>
      <w:r>
        <w:rPr>
          <w:rFonts w:hint="eastAsia"/>
        </w:rPr>
        <w:t>件</w:t>
      </w:r>
      <w:r w:rsidRPr="00B20498">
        <w:rPr>
          <w:rFonts w:hint="eastAsia"/>
        </w:rPr>
        <w:t>：司法所“五站点”建设任务分工</w:t>
      </w:r>
    </w:p>
    <w:p w:rsidR="0083219D" w:rsidRDefault="0083219D" w:rsidP="00AA16F5">
      <w:pPr>
        <w:rPr>
          <w:rFonts w:ascii="仿宋" w:eastAsia="仿宋" w:hAnsi="仿宋"/>
          <w:bCs/>
          <w:kern w:val="0"/>
          <w:szCs w:val="32"/>
        </w:rPr>
      </w:pPr>
    </w:p>
    <w:p w:rsidR="0083219D" w:rsidRDefault="0083219D" w:rsidP="00AA16F5">
      <w:pPr>
        <w:rPr>
          <w:rFonts w:ascii="仿宋" w:eastAsia="仿宋" w:hAnsi="仿宋"/>
          <w:bCs/>
          <w:kern w:val="0"/>
          <w:szCs w:val="32"/>
        </w:rPr>
      </w:pPr>
    </w:p>
    <w:p w:rsidR="0083219D" w:rsidRPr="00B20498" w:rsidRDefault="0083219D" w:rsidP="00A675E7">
      <w:pPr>
        <w:adjustRightInd w:val="0"/>
        <w:ind w:firstLineChars="200" w:firstLine="31680"/>
      </w:pPr>
      <w:r w:rsidRPr="00B20498">
        <w:rPr>
          <w:rFonts w:hint="eastAsia"/>
        </w:rPr>
        <w:t xml:space="preserve">　　　　　　　　　　　　　</w:t>
      </w:r>
      <w:r w:rsidRPr="00B20498">
        <w:rPr>
          <w:rFonts w:hint="eastAsia"/>
          <w:spacing w:val="20"/>
        </w:rPr>
        <w:t xml:space="preserve">　</w:t>
      </w:r>
      <w:r>
        <w:t xml:space="preserve"> </w:t>
      </w:r>
      <w:r w:rsidRPr="00B20498">
        <w:rPr>
          <w:rFonts w:hint="eastAsia"/>
        </w:rPr>
        <w:t>江阴市司法局</w:t>
      </w:r>
    </w:p>
    <w:p w:rsidR="0083219D" w:rsidRPr="00B20498" w:rsidRDefault="0083219D" w:rsidP="00A675E7">
      <w:pPr>
        <w:adjustRightInd w:val="0"/>
        <w:ind w:rightChars="400" w:right="31680"/>
        <w:jc w:val="right"/>
      </w:pPr>
      <w:r w:rsidRPr="00B20498">
        <w:rPr>
          <w:rFonts w:hint="eastAsia"/>
        </w:rPr>
        <w:t xml:space="preserve">　　　　　　　　　　　　　　　</w:t>
      </w:r>
      <w:r w:rsidRPr="00B20498">
        <w:t xml:space="preserve"> 2019</w:t>
      </w:r>
      <w:r w:rsidRPr="00B20498">
        <w:rPr>
          <w:rFonts w:hint="eastAsia"/>
        </w:rPr>
        <w:t>年</w:t>
      </w:r>
      <w:r w:rsidRPr="00B20498">
        <w:t>8</w:t>
      </w:r>
      <w:r w:rsidRPr="00B20498">
        <w:rPr>
          <w:rFonts w:hint="eastAsia"/>
        </w:rPr>
        <w:t>月</w:t>
      </w:r>
      <w:r w:rsidRPr="00B20498">
        <w:t>26</w:t>
      </w:r>
      <w:r w:rsidRPr="00B20498">
        <w:rPr>
          <w:rFonts w:hint="eastAsia"/>
        </w:rPr>
        <w:t>日</w:t>
      </w:r>
    </w:p>
    <w:p w:rsidR="0083219D" w:rsidRDefault="0083219D" w:rsidP="00A675E7">
      <w:pPr>
        <w:adjustRightInd w:val="0"/>
        <w:ind w:rightChars="400" w:right="31680"/>
        <w:jc w:val="left"/>
        <w:rPr>
          <w:bCs/>
          <w:kern w:val="0"/>
          <w:szCs w:val="32"/>
        </w:rPr>
      </w:pPr>
    </w:p>
    <w:p w:rsidR="0083219D" w:rsidRPr="00B20498" w:rsidRDefault="0083219D" w:rsidP="00B20498">
      <w:pPr>
        <w:pageBreakBefore/>
        <w:widowControl/>
        <w:jc w:val="left"/>
        <w:textAlignment w:val="baseline"/>
        <w:rPr>
          <w:rFonts w:ascii="方正黑体_GBK" w:eastAsia="方正黑体_GBK"/>
          <w:color w:val="000000"/>
          <w:kern w:val="0"/>
          <w:szCs w:val="21"/>
        </w:rPr>
      </w:pPr>
      <w:r w:rsidRPr="00B20498">
        <w:rPr>
          <w:rFonts w:ascii="方正黑体_GBK" w:eastAsia="方正黑体_GBK" w:hAnsi="仿宋" w:hint="eastAsia"/>
          <w:color w:val="000000"/>
          <w:kern w:val="0"/>
          <w:szCs w:val="32"/>
          <w:bdr w:val="none" w:sz="0" w:space="0" w:color="auto" w:frame="1"/>
        </w:rPr>
        <w:t>附</w:t>
      </w:r>
      <w:r>
        <w:rPr>
          <w:rFonts w:ascii="方正黑体_GBK" w:eastAsia="方正黑体_GBK" w:hAnsi="仿宋" w:hint="eastAsia"/>
          <w:color w:val="000000"/>
          <w:kern w:val="0"/>
          <w:szCs w:val="32"/>
          <w:bdr w:val="none" w:sz="0" w:space="0" w:color="auto" w:frame="1"/>
        </w:rPr>
        <w:t>件</w:t>
      </w:r>
    </w:p>
    <w:p w:rsidR="0083219D" w:rsidRPr="00B20498" w:rsidRDefault="0083219D" w:rsidP="001A456F">
      <w:pPr>
        <w:widowControl/>
        <w:spacing w:afterLines="80" w:line="700" w:lineRule="exact"/>
        <w:jc w:val="center"/>
        <w:textAlignment w:val="baseline"/>
        <w:rPr>
          <w:rFonts w:ascii="方正小标宋_GBK" w:eastAsia="方正小标宋_GBK"/>
          <w:color w:val="000000"/>
          <w:kern w:val="0"/>
          <w:szCs w:val="21"/>
        </w:rPr>
      </w:pPr>
      <w:r w:rsidRPr="00B20498">
        <w:rPr>
          <w:rFonts w:ascii="方正小标宋_GBK" w:eastAsia="方正小标宋_GBK" w:hint="eastAsia"/>
          <w:color w:val="000000"/>
          <w:kern w:val="0"/>
          <w:sz w:val="44"/>
          <w:szCs w:val="44"/>
          <w:bdr w:val="none" w:sz="0" w:space="0" w:color="auto" w:frame="1"/>
        </w:rPr>
        <w:t>司法所“五站点”建设任务分工</w:t>
      </w:r>
    </w:p>
    <w:p w:rsidR="0083219D" w:rsidRPr="00B20498" w:rsidRDefault="0083219D" w:rsidP="00A675E7">
      <w:pPr>
        <w:adjustRightInd w:val="0"/>
        <w:ind w:firstLineChars="200" w:firstLine="31680"/>
      </w:pPr>
      <w:r w:rsidRPr="00B20498">
        <w:t>1</w:t>
      </w:r>
      <w:r w:rsidRPr="00B20498">
        <w:rPr>
          <w:rFonts w:hint="eastAsia"/>
        </w:rPr>
        <w:t>、</w:t>
      </w:r>
      <w:r w:rsidRPr="00B20498">
        <w:rPr>
          <w:rFonts w:ascii="方正楷体_GBK" w:eastAsia="方正楷体_GBK" w:hint="eastAsia"/>
        </w:rPr>
        <w:t>公证协办点。</w:t>
      </w:r>
      <w:r w:rsidRPr="00B20498">
        <w:rPr>
          <w:rFonts w:hint="eastAsia"/>
        </w:rPr>
        <w:t>建立司法所公证协办点预约工作制度，通过预约到协办点办理公证业务或者预约后上市公证处办理公证业务。公示公证员名单和联系方式，制作公证服务指南和公证资料。</w:t>
      </w:r>
      <w:r w:rsidRPr="00B20498">
        <w:rPr>
          <w:rFonts w:ascii="方正楷体_GBK" w:eastAsia="方正楷体_GBK" w:hint="eastAsia"/>
        </w:rPr>
        <w:t>（责任单位：公证处、各司法所）</w:t>
      </w:r>
    </w:p>
    <w:p w:rsidR="0083219D" w:rsidRPr="00B20498" w:rsidRDefault="0083219D" w:rsidP="00A675E7">
      <w:pPr>
        <w:adjustRightInd w:val="0"/>
        <w:ind w:firstLineChars="200" w:firstLine="31680"/>
      </w:pPr>
      <w:r w:rsidRPr="00B20498">
        <w:t>2</w:t>
      </w:r>
      <w:r w:rsidRPr="00B20498">
        <w:rPr>
          <w:rFonts w:ascii="方正楷体_GBK" w:eastAsia="方正楷体_GBK" w:hint="eastAsia"/>
        </w:rPr>
        <w:t>、法律援助代办点。</w:t>
      </w:r>
      <w:r w:rsidRPr="00B20498">
        <w:rPr>
          <w:rFonts w:hint="eastAsia"/>
        </w:rPr>
        <w:t>制定代办点工作制度，指派基层法律服务工作者到代办点指导并参与工作，公示法律援助受理范围，制作法律援助服务相关资料。</w:t>
      </w:r>
      <w:r w:rsidRPr="00B20498">
        <w:rPr>
          <w:rFonts w:ascii="方正楷体_GBK" w:eastAsia="方正楷体_GBK" w:hint="eastAsia"/>
        </w:rPr>
        <w:t>（责任单位：市法律援助中心、各司法所）</w:t>
      </w:r>
    </w:p>
    <w:p w:rsidR="0083219D" w:rsidRPr="00B20498" w:rsidRDefault="0083219D" w:rsidP="00A675E7">
      <w:pPr>
        <w:adjustRightInd w:val="0"/>
        <w:ind w:firstLineChars="200" w:firstLine="31680"/>
      </w:pPr>
      <w:r w:rsidRPr="00B20498">
        <w:t>3</w:t>
      </w:r>
      <w:r w:rsidRPr="00B20498">
        <w:rPr>
          <w:rFonts w:hint="eastAsia"/>
        </w:rPr>
        <w:t>、</w:t>
      </w:r>
      <w:r w:rsidRPr="00B20498">
        <w:rPr>
          <w:rFonts w:ascii="方正楷体_GBK" w:eastAsia="方正楷体_GBK" w:hint="eastAsia"/>
        </w:rPr>
        <w:t>仲裁业务联系点。</w:t>
      </w:r>
      <w:r w:rsidRPr="00B20498">
        <w:rPr>
          <w:rFonts w:hint="eastAsia"/>
        </w:rPr>
        <w:t>指导仲裁业务咨询，向咨询者提供仲裁机构名称、地址、咨询方式。</w:t>
      </w:r>
      <w:r w:rsidRPr="00B20498">
        <w:rPr>
          <w:rFonts w:ascii="方正楷体_GBK" w:eastAsia="方正楷体_GBK" w:hint="eastAsia"/>
        </w:rPr>
        <w:t>（责任单位：无锡仲裁委员会江阴办事处、各司法所）</w:t>
      </w:r>
    </w:p>
    <w:p w:rsidR="0083219D" w:rsidRPr="00B20498" w:rsidRDefault="0083219D" w:rsidP="00A675E7">
      <w:pPr>
        <w:adjustRightInd w:val="0"/>
        <w:ind w:firstLineChars="200" w:firstLine="31680"/>
      </w:pPr>
      <w:r w:rsidRPr="00B20498">
        <w:t>4</w:t>
      </w:r>
      <w:r w:rsidRPr="00B20498">
        <w:rPr>
          <w:rFonts w:hint="eastAsia"/>
        </w:rPr>
        <w:t>、</w:t>
      </w:r>
      <w:r w:rsidRPr="00B20498">
        <w:rPr>
          <w:rFonts w:ascii="方正楷体_GBK" w:eastAsia="方正楷体_GBK" w:hint="eastAsia"/>
        </w:rPr>
        <w:t>行政复议受理点。</w:t>
      </w:r>
      <w:r w:rsidRPr="00B20498">
        <w:rPr>
          <w:rFonts w:hint="eastAsia"/>
        </w:rPr>
        <w:t>处理本区域涉及行政复议的来信来访事项，提供行政复议咨询，代收市政府受理本行政区域内行政复议申请。</w:t>
      </w:r>
      <w:r w:rsidRPr="00B20498">
        <w:rPr>
          <w:rFonts w:ascii="方正楷体_GBK" w:eastAsia="方正楷体_GBK" w:hint="eastAsia"/>
        </w:rPr>
        <w:t>（责任单位：行政复议应诉科、各司法所）</w:t>
      </w:r>
    </w:p>
    <w:p w:rsidR="0083219D" w:rsidRDefault="0083219D" w:rsidP="00A675E7">
      <w:pPr>
        <w:adjustRightInd w:val="0"/>
        <w:ind w:firstLineChars="200" w:firstLine="31680"/>
        <w:rPr>
          <w:rFonts w:ascii="方正楷体_GBK" w:eastAsia="方正楷体_GBK"/>
        </w:rPr>
      </w:pPr>
      <w:r w:rsidRPr="00B20498">
        <w:t>5</w:t>
      </w:r>
      <w:r w:rsidRPr="00B20498">
        <w:rPr>
          <w:rFonts w:hint="eastAsia"/>
        </w:rPr>
        <w:t>、</w:t>
      </w:r>
      <w:r w:rsidRPr="00B20498">
        <w:rPr>
          <w:rFonts w:ascii="方正楷体_GBK" w:eastAsia="方正楷体_GBK" w:hint="eastAsia"/>
        </w:rPr>
        <w:t>立法民意收集点。</w:t>
      </w:r>
      <w:r w:rsidRPr="00B20498">
        <w:rPr>
          <w:rFonts w:hint="eastAsia"/>
        </w:rPr>
        <w:t>公示并定期更新省、市立法信息，制作立法民意表格，及时收集并报送立法民意。指导村（社区）立法民意受理工作。</w:t>
      </w:r>
      <w:r w:rsidRPr="00B20498">
        <w:rPr>
          <w:rFonts w:ascii="方正楷体_GBK" w:eastAsia="方正楷体_GBK" w:hint="eastAsia"/>
        </w:rPr>
        <w:t>（责任单位：人民参与和促进法治科、各司法所）</w:t>
      </w:r>
    </w:p>
    <w:p w:rsidR="0083219D" w:rsidRDefault="0083219D" w:rsidP="00A675E7">
      <w:pPr>
        <w:adjustRightInd w:val="0"/>
        <w:ind w:firstLineChars="200" w:firstLine="31680"/>
        <w:rPr>
          <w:rFonts w:ascii="方正楷体_GBK" w:eastAsia="方正楷体_GBK"/>
        </w:rPr>
      </w:pPr>
    </w:p>
    <w:p w:rsidR="0083219D" w:rsidRDefault="0083219D" w:rsidP="00A675E7">
      <w:pPr>
        <w:adjustRightInd w:val="0"/>
        <w:ind w:rightChars="400" w:right="31680"/>
        <w:jc w:val="left"/>
        <w:rPr>
          <w:bCs/>
          <w:kern w:val="0"/>
          <w:szCs w:val="32"/>
        </w:rPr>
      </w:pPr>
    </w:p>
    <w:p w:rsidR="0083219D" w:rsidRDefault="0083219D" w:rsidP="00A675E7">
      <w:pPr>
        <w:adjustRightInd w:val="0"/>
        <w:ind w:rightChars="400" w:right="31680"/>
        <w:jc w:val="left"/>
        <w:rPr>
          <w:bCs/>
          <w:kern w:val="0"/>
          <w:szCs w:val="32"/>
        </w:rPr>
      </w:pPr>
    </w:p>
    <w:p w:rsidR="0083219D" w:rsidRDefault="0083219D" w:rsidP="00A675E7">
      <w:pPr>
        <w:adjustRightInd w:val="0"/>
        <w:ind w:rightChars="400" w:right="31680"/>
        <w:jc w:val="left"/>
        <w:rPr>
          <w:bCs/>
          <w:kern w:val="0"/>
          <w:szCs w:val="32"/>
        </w:rPr>
      </w:pPr>
    </w:p>
    <w:p w:rsidR="0083219D" w:rsidRDefault="0083219D" w:rsidP="00A675E7">
      <w:pPr>
        <w:adjustRightInd w:val="0"/>
        <w:ind w:rightChars="400" w:right="31680"/>
        <w:jc w:val="left"/>
        <w:rPr>
          <w:bCs/>
          <w:kern w:val="0"/>
          <w:szCs w:val="32"/>
        </w:rPr>
      </w:pPr>
    </w:p>
    <w:p w:rsidR="0083219D" w:rsidRDefault="0083219D" w:rsidP="00A675E7">
      <w:pPr>
        <w:adjustRightInd w:val="0"/>
        <w:ind w:rightChars="400" w:right="31680"/>
        <w:jc w:val="left"/>
        <w:rPr>
          <w:bCs/>
          <w:kern w:val="0"/>
          <w:szCs w:val="32"/>
        </w:rPr>
      </w:pPr>
    </w:p>
    <w:p w:rsidR="0083219D" w:rsidRDefault="0083219D" w:rsidP="00A675E7">
      <w:pPr>
        <w:adjustRightInd w:val="0"/>
        <w:ind w:rightChars="400" w:right="31680"/>
        <w:jc w:val="left"/>
        <w:rPr>
          <w:bCs/>
          <w:kern w:val="0"/>
          <w:szCs w:val="32"/>
        </w:rPr>
      </w:pPr>
    </w:p>
    <w:p w:rsidR="0083219D" w:rsidRDefault="0083219D" w:rsidP="00A675E7">
      <w:pPr>
        <w:adjustRightInd w:val="0"/>
        <w:ind w:rightChars="400" w:right="31680"/>
        <w:jc w:val="left"/>
        <w:rPr>
          <w:bCs/>
          <w:kern w:val="0"/>
          <w:szCs w:val="32"/>
        </w:rPr>
      </w:pPr>
    </w:p>
    <w:p w:rsidR="0083219D" w:rsidRDefault="0083219D" w:rsidP="00A675E7">
      <w:pPr>
        <w:adjustRightInd w:val="0"/>
        <w:ind w:rightChars="400" w:right="31680"/>
        <w:jc w:val="left"/>
        <w:rPr>
          <w:bCs/>
          <w:kern w:val="0"/>
          <w:szCs w:val="32"/>
        </w:rPr>
      </w:pPr>
    </w:p>
    <w:p w:rsidR="0083219D" w:rsidRDefault="0083219D" w:rsidP="00A675E7">
      <w:pPr>
        <w:adjustRightInd w:val="0"/>
        <w:ind w:rightChars="400" w:right="31680"/>
        <w:jc w:val="left"/>
        <w:rPr>
          <w:bCs/>
          <w:kern w:val="0"/>
          <w:szCs w:val="32"/>
        </w:rPr>
      </w:pPr>
    </w:p>
    <w:p w:rsidR="0083219D" w:rsidRDefault="0083219D" w:rsidP="00A675E7">
      <w:pPr>
        <w:adjustRightInd w:val="0"/>
        <w:ind w:rightChars="400" w:right="31680"/>
        <w:jc w:val="left"/>
        <w:rPr>
          <w:bCs/>
          <w:kern w:val="0"/>
          <w:szCs w:val="32"/>
        </w:rPr>
      </w:pPr>
    </w:p>
    <w:p w:rsidR="0083219D" w:rsidRDefault="0083219D" w:rsidP="00A675E7">
      <w:pPr>
        <w:adjustRightInd w:val="0"/>
        <w:ind w:rightChars="400" w:right="31680"/>
        <w:jc w:val="left"/>
        <w:rPr>
          <w:bCs/>
          <w:kern w:val="0"/>
          <w:szCs w:val="32"/>
        </w:rPr>
      </w:pPr>
    </w:p>
    <w:p w:rsidR="0083219D" w:rsidRDefault="0083219D" w:rsidP="00A675E7">
      <w:pPr>
        <w:adjustRightInd w:val="0"/>
        <w:ind w:rightChars="400" w:right="31680"/>
        <w:jc w:val="left"/>
        <w:rPr>
          <w:bCs/>
          <w:kern w:val="0"/>
          <w:szCs w:val="32"/>
        </w:rPr>
      </w:pPr>
    </w:p>
    <w:p w:rsidR="0083219D" w:rsidRDefault="0083219D" w:rsidP="00A675E7">
      <w:pPr>
        <w:adjustRightInd w:val="0"/>
        <w:ind w:rightChars="400" w:right="31680"/>
        <w:jc w:val="left"/>
        <w:rPr>
          <w:bCs/>
          <w:kern w:val="0"/>
          <w:szCs w:val="32"/>
        </w:rPr>
      </w:pPr>
    </w:p>
    <w:p w:rsidR="0083219D" w:rsidRDefault="0083219D" w:rsidP="00A675E7">
      <w:pPr>
        <w:adjustRightInd w:val="0"/>
        <w:ind w:rightChars="400" w:right="31680"/>
        <w:jc w:val="left"/>
        <w:rPr>
          <w:bCs/>
          <w:kern w:val="0"/>
          <w:szCs w:val="32"/>
        </w:rPr>
      </w:pPr>
    </w:p>
    <w:p w:rsidR="0083219D" w:rsidRDefault="0083219D" w:rsidP="00A675E7">
      <w:pPr>
        <w:adjustRightInd w:val="0"/>
        <w:ind w:rightChars="400" w:right="31680"/>
        <w:jc w:val="left"/>
        <w:rPr>
          <w:bCs/>
          <w:kern w:val="0"/>
          <w:szCs w:val="32"/>
        </w:rPr>
      </w:pPr>
    </w:p>
    <w:p w:rsidR="0083219D" w:rsidRDefault="0083219D" w:rsidP="00A675E7">
      <w:pPr>
        <w:adjustRightInd w:val="0"/>
        <w:ind w:rightChars="400" w:right="31680"/>
        <w:jc w:val="left"/>
        <w:rPr>
          <w:bCs/>
          <w:kern w:val="0"/>
          <w:szCs w:val="32"/>
        </w:rPr>
      </w:pPr>
    </w:p>
    <w:p w:rsidR="0083219D" w:rsidRDefault="0083219D" w:rsidP="00A675E7">
      <w:pPr>
        <w:adjustRightInd w:val="0"/>
        <w:ind w:rightChars="400" w:right="31680"/>
        <w:jc w:val="left"/>
        <w:rPr>
          <w:bCs/>
          <w:kern w:val="0"/>
          <w:szCs w:val="32"/>
        </w:rPr>
      </w:pPr>
    </w:p>
    <w:p w:rsidR="0083219D" w:rsidRDefault="0083219D" w:rsidP="00A675E7">
      <w:pPr>
        <w:adjustRightInd w:val="0"/>
        <w:ind w:rightChars="400" w:right="31680"/>
        <w:jc w:val="left"/>
        <w:rPr>
          <w:bCs/>
          <w:kern w:val="0"/>
          <w:szCs w:val="32"/>
        </w:rPr>
      </w:pPr>
    </w:p>
    <w:p w:rsidR="0083219D" w:rsidRPr="000C0E68" w:rsidRDefault="0083219D" w:rsidP="00A675E7">
      <w:pPr>
        <w:adjustRightInd w:val="0"/>
        <w:ind w:rightChars="400" w:right="31680"/>
        <w:jc w:val="left"/>
        <w:rPr>
          <w:bCs/>
          <w:kern w:val="0"/>
          <w:szCs w:val="32"/>
        </w:rPr>
      </w:pPr>
    </w:p>
    <w:p w:rsidR="0083219D" w:rsidRDefault="0083219D" w:rsidP="00A675E7">
      <w:pPr>
        <w:adjustRightInd w:val="0"/>
        <w:spacing w:line="400" w:lineRule="exact"/>
        <w:ind w:rightChars="400" w:right="31680"/>
        <w:jc w:val="left"/>
        <w:rPr>
          <w:bCs/>
          <w:kern w:val="0"/>
          <w:szCs w:val="32"/>
        </w:rPr>
      </w:pPr>
    </w:p>
    <w:p w:rsidR="0083219D" w:rsidRDefault="0083219D" w:rsidP="00A675E7">
      <w:pPr>
        <w:adjustRightInd w:val="0"/>
        <w:spacing w:line="400" w:lineRule="exact"/>
        <w:ind w:rightChars="400" w:right="31680"/>
        <w:jc w:val="left"/>
        <w:rPr>
          <w:bCs/>
          <w:kern w:val="0"/>
          <w:szCs w:val="32"/>
        </w:rPr>
      </w:pPr>
    </w:p>
    <w:p w:rsidR="0083219D" w:rsidRDefault="0083219D" w:rsidP="00A675E7">
      <w:pPr>
        <w:adjustRightInd w:val="0"/>
        <w:spacing w:line="400" w:lineRule="exact"/>
        <w:ind w:rightChars="400" w:right="31680"/>
        <w:jc w:val="left"/>
        <w:rPr>
          <w:bCs/>
          <w:kern w:val="0"/>
          <w:szCs w:val="32"/>
        </w:rPr>
      </w:pPr>
    </w:p>
    <w:p w:rsidR="0083219D" w:rsidRDefault="0083219D" w:rsidP="00A675E7">
      <w:pPr>
        <w:adjustRightInd w:val="0"/>
        <w:spacing w:line="400" w:lineRule="exact"/>
        <w:ind w:rightChars="400" w:right="31680"/>
        <w:jc w:val="left"/>
        <w:rPr>
          <w:bCs/>
          <w:kern w:val="0"/>
          <w:szCs w:val="32"/>
        </w:rPr>
      </w:pPr>
    </w:p>
    <w:p w:rsidR="0083219D" w:rsidRPr="00AA16F5" w:rsidRDefault="0083219D" w:rsidP="00E0056C">
      <w:pPr>
        <w:adjustRightInd w:val="0"/>
        <w:ind w:leftChars="100" w:left="31680" w:rightChars="100" w:right="31680"/>
      </w:pPr>
      <w:r>
        <w:rPr>
          <w:noProof/>
        </w:rPr>
        <w:pict>
          <v:shape id="_x0000_s1029" type="#_x0000_t32" style="position:absolute;left:0;text-align:left;margin-left:0;margin-top:27.1pt;width:442.2pt;height:0;z-index:251658752" o:connectortype="straight"/>
        </w:pict>
      </w:r>
      <w:r>
        <w:rPr>
          <w:noProof/>
        </w:rPr>
        <w:pict>
          <v:shape id="_x0000_s1030" type="#_x0000_t32" style="position:absolute;left:0;text-align:left;margin-left:0;margin-top:1.95pt;width:442.2pt;height:0;z-index:251657728" o:connectortype="straight"/>
        </w:pict>
      </w:r>
      <w:r w:rsidRPr="00B20498">
        <w:rPr>
          <w:rFonts w:hint="eastAsia"/>
          <w:sz w:val="28"/>
          <w:szCs w:val="28"/>
        </w:rPr>
        <w:t>江阴市司法局</w:t>
      </w:r>
      <w:r w:rsidRPr="00B20498">
        <w:rPr>
          <w:sz w:val="28"/>
          <w:szCs w:val="28"/>
        </w:rPr>
        <w:t xml:space="preserve">   </w:t>
      </w:r>
      <w:r>
        <w:rPr>
          <w:rFonts w:hint="eastAsia"/>
          <w:sz w:val="28"/>
          <w:szCs w:val="28"/>
        </w:rPr>
        <w:t xml:space="preserve">　　　　</w:t>
      </w:r>
      <w:r w:rsidRPr="00B20498">
        <w:rPr>
          <w:sz w:val="28"/>
          <w:szCs w:val="28"/>
        </w:rPr>
        <w:t xml:space="preserve">                  2019</w:t>
      </w:r>
      <w:r w:rsidRPr="00B20498">
        <w:rPr>
          <w:rFonts w:hint="eastAsia"/>
          <w:sz w:val="28"/>
          <w:szCs w:val="28"/>
        </w:rPr>
        <w:t>年</w:t>
      </w:r>
      <w:r w:rsidRPr="00B20498">
        <w:rPr>
          <w:sz w:val="28"/>
          <w:szCs w:val="28"/>
        </w:rPr>
        <w:t>8</w:t>
      </w:r>
      <w:r w:rsidRPr="00B20498">
        <w:rPr>
          <w:rFonts w:hint="eastAsia"/>
          <w:sz w:val="28"/>
          <w:szCs w:val="28"/>
        </w:rPr>
        <w:t>月</w:t>
      </w:r>
      <w:r w:rsidRPr="00B20498">
        <w:rPr>
          <w:sz w:val="28"/>
          <w:szCs w:val="28"/>
        </w:rPr>
        <w:t>26</w:t>
      </w:r>
      <w:r w:rsidRPr="00B20498">
        <w:rPr>
          <w:rFonts w:hint="eastAsia"/>
          <w:sz w:val="28"/>
          <w:szCs w:val="28"/>
        </w:rPr>
        <w:t>日印发</w:t>
      </w:r>
    </w:p>
    <w:sectPr w:rsidR="0083219D" w:rsidRPr="00AA16F5" w:rsidSect="00AF3C5E">
      <w:headerReference w:type="default" r:id="rId7"/>
      <w:footerReference w:type="even" r:id="rId8"/>
      <w:footerReference w:type="default" r:id="rId9"/>
      <w:pgSz w:w="11906" w:h="16838" w:code="9"/>
      <w:pgMar w:top="2098" w:right="1474" w:bottom="1985" w:left="1588" w:header="851" w:footer="1418"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19D" w:rsidRDefault="0083219D" w:rsidP="009E50B3">
      <w:r>
        <w:separator/>
      </w:r>
    </w:p>
  </w:endnote>
  <w:endnote w:type="continuationSeparator" w:id="0">
    <w:p w:rsidR="0083219D" w:rsidRDefault="0083219D" w:rsidP="009E50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_GBK">
    <w:altName w:val="Arial Unicode MS"/>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华文中宋">
    <w:altName w:val="微软雅黑"/>
    <w:panose1 w:val="00000000000000000000"/>
    <w:charset w:val="86"/>
    <w:family w:val="auto"/>
    <w:notTrueType/>
    <w:pitch w:val="variable"/>
    <w:sig w:usb0="00000287" w:usb1="080E0000" w:usb2="00000010" w:usb3="00000000" w:csb0="0004009F" w:csb1="00000000"/>
  </w:font>
  <w:font w:name="方正楷体_GBK">
    <w:altName w:val="Arial Unicode MS"/>
    <w:panose1 w:val="03000509000000000000"/>
    <w:charset w:val="86"/>
    <w:family w:val="script"/>
    <w:pitch w:val="fixed"/>
    <w:sig w:usb0="00000001" w:usb1="080E0000" w:usb2="00000010" w:usb3="00000000" w:csb0="00040000" w:csb1="00000000"/>
  </w:font>
  <w:font w:name="楷体">
    <w:altName w:val="Arial Unicode MS"/>
    <w:panose1 w:val="00000000000000000000"/>
    <w:charset w:val="86"/>
    <w:family w:val="modern"/>
    <w:notTrueType/>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仿宋">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19D" w:rsidRPr="00BA0E62" w:rsidRDefault="0083219D" w:rsidP="00E0056C">
    <w:pPr>
      <w:pStyle w:val="Footer"/>
      <w:ind w:leftChars="100" w:left="31680"/>
      <w:rPr>
        <w:rFonts w:ascii="宋体" w:eastAsia="宋体" w:hAnsi="宋体"/>
        <w:sz w:val="28"/>
        <w:szCs w:val="28"/>
      </w:rPr>
    </w:pPr>
    <w:r>
      <w:rPr>
        <w:rFonts w:ascii="宋体" w:eastAsia="宋体" w:hAnsi="宋体"/>
        <w:kern w:val="0"/>
        <w:sz w:val="28"/>
        <w:szCs w:val="28"/>
      </w:rPr>
      <w:t>—</w:t>
    </w:r>
    <w:r w:rsidRPr="00BA0E62">
      <w:rPr>
        <w:rFonts w:ascii="宋体" w:eastAsia="宋体" w:hAnsi="宋体"/>
        <w:kern w:val="0"/>
        <w:sz w:val="28"/>
        <w:szCs w:val="28"/>
      </w:rPr>
      <w:t xml:space="preserve"> </w:t>
    </w:r>
    <w:r w:rsidRPr="00BA0E62">
      <w:rPr>
        <w:rFonts w:ascii="宋体" w:eastAsia="宋体" w:hAnsi="宋体"/>
        <w:kern w:val="0"/>
        <w:sz w:val="28"/>
        <w:szCs w:val="28"/>
      </w:rPr>
      <w:fldChar w:fldCharType="begin"/>
    </w:r>
    <w:r w:rsidRPr="00BA0E62">
      <w:rPr>
        <w:rFonts w:ascii="宋体" w:eastAsia="宋体" w:hAnsi="宋体"/>
        <w:kern w:val="0"/>
        <w:sz w:val="28"/>
        <w:szCs w:val="28"/>
      </w:rPr>
      <w:instrText xml:space="preserve"> PAGE </w:instrText>
    </w:r>
    <w:r w:rsidRPr="00BA0E62">
      <w:rPr>
        <w:rFonts w:ascii="宋体" w:eastAsia="宋体" w:hAnsi="宋体"/>
        <w:kern w:val="0"/>
        <w:sz w:val="28"/>
        <w:szCs w:val="28"/>
      </w:rPr>
      <w:fldChar w:fldCharType="separate"/>
    </w:r>
    <w:r>
      <w:rPr>
        <w:rFonts w:ascii="宋体" w:eastAsia="宋体" w:hAnsi="宋体"/>
        <w:noProof/>
        <w:kern w:val="0"/>
        <w:sz w:val="28"/>
        <w:szCs w:val="28"/>
      </w:rPr>
      <w:t>4</w:t>
    </w:r>
    <w:r w:rsidRPr="00BA0E62">
      <w:rPr>
        <w:rFonts w:ascii="宋体" w:eastAsia="宋体" w:hAnsi="宋体"/>
        <w:kern w:val="0"/>
        <w:sz w:val="28"/>
        <w:szCs w:val="28"/>
      </w:rPr>
      <w:fldChar w:fldCharType="end"/>
    </w:r>
    <w:r w:rsidRPr="00BA0E62">
      <w:rPr>
        <w:rFonts w:ascii="宋体" w:eastAsia="宋体" w:hAnsi="宋体"/>
        <w:kern w:val="0"/>
        <w:sz w:val="28"/>
        <w:szCs w:val="28"/>
      </w:rPr>
      <w:t xml:space="preserve"> </w:t>
    </w:r>
    <w:r>
      <w:rPr>
        <w:rFonts w:ascii="宋体" w:eastAsia="宋体" w:hAnsi="宋体"/>
        <w:kern w:val="0"/>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19D" w:rsidRDefault="0083219D" w:rsidP="00E0056C">
    <w:pPr>
      <w:pStyle w:val="Footer"/>
      <w:ind w:rightChars="100" w:right="31680"/>
      <w:jc w:val="right"/>
    </w:pPr>
    <w:r w:rsidRPr="00027434">
      <w:rPr>
        <w:sz w:val="28"/>
        <w:szCs w:val="28"/>
      </w:rPr>
      <w:t xml:space="preserve">— </w:t>
    </w:r>
    <w:r w:rsidRPr="00027434">
      <w:rPr>
        <w:rFonts w:ascii="宋体" w:eastAsia="宋体" w:hAnsi="宋体"/>
        <w:sz w:val="28"/>
        <w:szCs w:val="28"/>
      </w:rPr>
      <w:fldChar w:fldCharType="begin"/>
    </w:r>
    <w:r w:rsidRPr="00027434">
      <w:rPr>
        <w:rFonts w:ascii="宋体" w:eastAsia="宋体" w:hAnsi="宋体"/>
        <w:sz w:val="28"/>
        <w:szCs w:val="28"/>
      </w:rPr>
      <w:instrText xml:space="preserve"> PAGE   \* MERGEFORMAT </w:instrText>
    </w:r>
    <w:r w:rsidRPr="00027434">
      <w:rPr>
        <w:rFonts w:ascii="宋体" w:eastAsia="宋体" w:hAnsi="宋体"/>
        <w:sz w:val="28"/>
        <w:szCs w:val="28"/>
      </w:rPr>
      <w:fldChar w:fldCharType="separate"/>
    </w:r>
    <w:r w:rsidRPr="00A675E7">
      <w:rPr>
        <w:rFonts w:ascii="宋体" w:eastAsia="宋体" w:hAnsi="宋体"/>
        <w:noProof/>
        <w:sz w:val="28"/>
        <w:szCs w:val="28"/>
        <w:lang w:val="zh-CN"/>
      </w:rPr>
      <w:t>3</w:t>
    </w:r>
    <w:r w:rsidRPr="00027434">
      <w:rPr>
        <w:rFonts w:ascii="宋体" w:eastAsia="宋体" w:hAnsi="宋体"/>
        <w:sz w:val="28"/>
        <w:szCs w:val="28"/>
      </w:rPr>
      <w:fldChar w:fldCharType="end"/>
    </w:r>
    <w:r w:rsidRPr="00027434">
      <w:rPr>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19D" w:rsidRDefault="0083219D" w:rsidP="009E50B3">
      <w:r>
        <w:separator/>
      </w:r>
    </w:p>
  </w:footnote>
  <w:footnote w:type="continuationSeparator" w:id="0">
    <w:p w:rsidR="0083219D" w:rsidRDefault="0083219D" w:rsidP="009E50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19D" w:rsidRDefault="0083219D" w:rsidP="00A675E7">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bordersDoNotSurroundHeader/>
  <w:bordersDoNotSurroundFooter/>
  <w:defaultTabStop w:val="420"/>
  <w:evenAndOddHeaders/>
  <w:drawingGridHorizontalSpacing w:val="158"/>
  <w:drawingGridVerticalSpacing w:val="579"/>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7111"/>
    <w:rsid w:val="00027434"/>
    <w:rsid w:val="00091F00"/>
    <w:rsid w:val="000C0E68"/>
    <w:rsid w:val="000D18DF"/>
    <w:rsid w:val="0011545D"/>
    <w:rsid w:val="001A456F"/>
    <w:rsid w:val="001B004F"/>
    <w:rsid w:val="001B4679"/>
    <w:rsid w:val="001C1E0F"/>
    <w:rsid w:val="00217694"/>
    <w:rsid w:val="002F7E1A"/>
    <w:rsid w:val="00356600"/>
    <w:rsid w:val="003667C8"/>
    <w:rsid w:val="00386C01"/>
    <w:rsid w:val="003C5B8F"/>
    <w:rsid w:val="003D4EDE"/>
    <w:rsid w:val="00481583"/>
    <w:rsid w:val="00592448"/>
    <w:rsid w:val="00605727"/>
    <w:rsid w:val="006355F9"/>
    <w:rsid w:val="006365D4"/>
    <w:rsid w:val="00684CC0"/>
    <w:rsid w:val="0069572B"/>
    <w:rsid w:val="006F360D"/>
    <w:rsid w:val="007F3C5B"/>
    <w:rsid w:val="0080793B"/>
    <w:rsid w:val="0083219D"/>
    <w:rsid w:val="00841E24"/>
    <w:rsid w:val="00933FE8"/>
    <w:rsid w:val="0095376B"/>
    <w:rsid w:val="009D2451"/>
    <w:rsid w:val="009E50B3"/>
    <w:rsid w:val="00A303AC"/>
    <w:rsid w:val="00A57111"/>
    <w:rsid w:val="00A675E7"/>
    <w:rsid w:val="00AA16F5"/>
    <w:rsid w:val="00AF3C5E"/>
    <w:rsid w:val="00B20498"/>
    <w:rsid w:val="00BA0E62"/>
    <w:rsid w:val="00BB704D"/>
    <w:rsid w:val="00BC7276"/>
    <w:rsid w:val="00C04F87"/>
    <w:rsid w:val="00C10B62"/>
    <w:rsid w:val="00CB5402"/>
    <w:rsid w:val="00D220A0"/>
    <w:rsid w:val="00D40D74"/>
    <w:rsid w:val="00DF0C82"/>
    <w:rsid w:val="00E0056C"/>
    <w:rsid w:val="00E02C8F"/>
    <w:rsid w:val="00E038ED"/>
    <w:rsid w:val="00E108BE"/>
    <w:rsid w:val="00E14C38"/>
    <w:rsid w:val="00E40B56"/>
    <w:rsid w:val="00F112DA"/>
    <w:rsid w:val="00F91332"/>
    <w:rsid w:val="00FB402A"/>
    <w:rsid w:val="00FC30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98"/>
    <w:pPr>
      <w:widowControl w:val="0"/>
      <w:jc w:val="both"/>
    </w:pPr>
    <w:rPr>
      <w:rFonts w:ascii="Times New Roman" w:eastAsia="方正仿宋_GBK" w:hAnsi="Times New Roman"/>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7111"/>
    <w:pPr>
      <w:pBdr>
        <w:bottom w:val="single" w:sz="6" w:space="1" w:color="auto"/>
      </w:pBdr>
      <w:tabs>
        <w:tab w:val="center" w:pos="4153"/>
        <w:tab w:val="right" w:pos="8306"/>
      </w:tabs>
      <w:snapToGrid w:val="0"/>
      <w:jc w:val="center"/>
    </w:pPr>
    <w:rPr>
      <w:sz w:val="18"/>
      <w:szCs w:val="20"/>
    </w:rPr>
  </w:style>
  <w:style w:type="character" w:customStyle="1" w:styleId="HeaderChar">
    <w:name w:val="Header Char"/>
    <w:basedOn w:val="DefaultParagraphFont"/>
    <w:link w:val="Header"/>
    <w:uiPriority w:val="99"/>
    <w:locked/>
    <w:rsid w:val="00A57111"/>
    <w:rPr>
      <w:rFonts w:ascii="Times New Roman" w:eastAsia="方正仿宋_GBK" w:hAnsi="Times New Roman" w:cs="Times New Roman"/>
      <w:kern w:val="2"/>
      <w:sz w:val="18"/>
    </w:rPr>
  </w:style>
  <w:style w:type="paragraph" w:styleId="Footer">
    <w:name w:val="footer"/>
    <w:basedOn w:val="Normal"/>
    <w:link w:val="FooterChar"/>
    <w:uiPriority w:val="99"/>
    <w:rsid w:val="00A57111"/>
    <w:pPr>
      <w:tabs>
        <w:tab w:val="center" w:pos="4153"/>
        <w:tab w:val="right" w:pos="8306"/>
      </w:tabs>
      <w:snapToGrid w:val="0"/>
      <w:jc w:val="left"/>
    </w:pPr>
    <w:rPr>
      <w:sz w:val="18"/>
      <w:szCs w:val="20"/>
    </w:rPr>
  </w:style>
  <w:style w:type="character" w:customStyle="1" w:styleId="FooterChar">
    <w:name w:val="Footer Char"/>
    <w:basedOn w:val="DefaultParagraphFont"/>
    <w:link w:val="Footer"/>
    <w:uiPriority w:val="99"/>
    <w:locked/>
    <w:rsid w:val="00A57111"/>
    <w:rPr>
      <w:rFonts w:ascii="Times New Roman" w:eastAsia="方正仿宋_GBK" w:hAnsi="Times New Roman" w:cs="Times New Roman"/>
      <w:kern w:val="2"/>
      <w:sz w:val="18"/>
    </w:rPr>
  </w:style>
  <w:style w:type="paragraph" w:customStyle="1" w:styleId="a">
    <w:name w:val="印发栏"/>
    <w:basedOn w:val="NormalIndent"/>
    <w:uiPriority w:val="99"/>
    <w:rsid w:val="00A57111"/>
    <w:pPr>
      <w:tabs>
        <w:tab w:val="right" w:pos="8465"/>
      </w:tabs>
      <w:autoSpaceDE w:val="0"/>
      <w:autoSpaceDN w:val="0"/>
      <w:adjustRightInd w:val="0"/>
      <w:spacing w:line="454" w:lineRule="atLeast"/>
      <w:ind w:left="357" w:right="357" w:firstLineChars="0" w:firstLine="0"/>
      <w:jc w:val="left"/>
    </w:pPr>
    <w:rPr>
      <w:kern w:val="32"/>
      <w:szCs w:val="32"/>
    </w:rPr>
  </w:style>
  <w:style w:type="paragraph" w:customStyle="1" w:styleId="a0">
    <w:name w:val="紧急程度"/>
    <w:basedOn w:val="Normal"/>
    <w:uiPriority w:val="99"/>
    <w:rsid w:val="00A57111"/>
    <w:pPr>
      <w:overflowPunct w:val="0"/>
      <w:autoSpaceDE w:val="0"/>
      <w:autoSpaceDN w:val="0"/>
      <w:adjustRightInd w:val="0"/>
      <w:snapToGrid w:val="0"/>
      <w:spacing w:line="440" w:lineRule="atLeast"/>
      <w:jc w:val="right"/>
    </w:pPr>
    <w:rPr>
      <w:rFonts w:ascii="黑体" w:eastAsia="黑体"/>
      <w:kern w:val="0"/>
      <w:szCs w:val="20"/>
    </w:rPr>
  </w:style>
  <w:style w:type="paragraph" w:styleId="NormalIndent">
    <w:name w:val="Normal Indent"/>
    <w:basedOn w:val="Normal"/>
    <w:uiPriority w:val="99"/>
    <w:semiHidden/>
    <w:rsid w:val="00A57111"/>
    <w:pPr>
      <w:ind w:firstLineChars="200" w:firstLine="420"/>
    </w:pPr>
  </w:style>
  <w:style w:type="paragraph" w:styleId="BalloonText">
    <w:name w:val="Balloon Text"/>
    <w:basedOn w:val="Normal"/>
    <w:link w:val="BalloonTextChar"/>
    <w:uiPriority w:val="99"/>
    <w:semiHidden/>
    <w:rsid w:val="00E40B56"/>
    <w:rPr>
      <w:sz w:val="18"/>
      <w:szCs w:val="18"/>
    </w:rPr>
  </w:style>
  <w:style w:type="character" w:customStyle="1" w:styleId="BalloonTextChar">
    <w:name w:val="Balloon Text Char"/>
    <w:basedOn w:val="DefaultParagraphFont"/>
    <w:link w:val="BalloonText"/>
    <w:uiPriority w:val="99"/>
    <w:semiHidden/>
    <w:locked/>
    <w:rsid w:val="00E40B56"/>
    <w:rPr>
      <w:rFonts w:ascii="Times New Roman" w:eastAsia="方正仿宋_GBK"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150</TotalTime>
  <Pages>6</Pages>
  <Words>307</Words>
  <Characters>1755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徐佳敏</cp:lastModifiedBy>
  <cp:revision>21</cp:revision>
  <cp:lastPrinted>2019-08-27T01:50:00Z</cp:lastPrinted>
  <dcterms:created xsi:type="dcterms:W3CDTF">2019-07-12T06:52:00Z</dcterms:created>
  <dcterms:modified xsi:type="dcterms:W3CDTF">2019-09-23T06:40:00Z</dcterms:modified>
</cp:coreProperties>
</file>