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atLeast"/>
        <w:ind w:firstLine="465"/>
        <w:jc w:val="center"/>
        <w:rPr>
          <w:rFonts w:hint="eastAsia" w:ascii="宋体" w:hAnsi="宋体"/>
          <w:b/>
          <w:sz w:val="36"/>
          <w:szCs w:val="36"/>
          <w:lang w:val="zh-CN"/>
        </w:rPr>
      </w:pPr>
      <w:r>
        <w:rPr>
          <w:rFonts w:hint="eastAsia" w:ascii="宋体" w:hAnsi="宋体"/>
          <w:b/>
          <w:sz w:val="36"/>
          <w:szCs w:val="36"/>
          <w:lang w:val="zh-CN"/>
        </w:rPr>
        <w:t>创新村党群服务中心装修工程</w:t>
      </w:r>
    </w:p>
    <w:p>
      <w:pPr>
        <w:snapToGrid w:val="0"/>
        <w:spacing w:line="440" w:lineRule="atLeast"/>
        <w:ind w:firstLine="465"/>
        <w:jc w:val="center"/>
        <w:rPr>
          <w:rFonts w:ascii="宋体" w:hAnsi="宋体"/>
          <w:b/>
          <w:sz w:val="36"/>
          <w:szCs w:val="36"/>
          <w:lang w:val="zh-CN"/>
        </w:rPr>
      </w:pPr>
      <w:r>
        <w:rPr>
          <w:rFonts w:hint="eastAsia" w:ascii="宋体" w:hAnsi="宋体"/>
          <w:b/>
          <w:sz w:val="36"/>
          <w:szCs w:val="36"/>
          <w:lang w:val="zh-CN"/>
        </w:rPr>
        <w:t>标底编制说明</w:t>
      </w:r>
    </w:p>
    <w:p>
      <w:pPr>
        <w:snapToGrid w:val="0"/>
        <w:spacing w:line="440" w:lineRule="atLeast"/>
        <w:rPr>
          <w:rFonts w:ascii="宋体" w:hAnsi="宋体" w:cs="宋体"/>
          <w:bCs/>
          <w:szCs w:val="21"/>
          <w:lang w:val="zh-CN"/>
        </w:rPr>
      </w:pPr>
    </w:p>
    <w:p>
      <w:pPr>
        <w:numPr>
          <w:ilvl w:val="0"/>
          <w:numId w:val="1"/>
        </w:numPr>
        <w:snapToGrid w:val="0"/>
        <w:spacing w:line="440" w:lineRule="atLeast"/>
        <w:rPr>
          <w:rFonts w:ascii="宋体" w:hAnsi="宋体" w:cs="宋体"/>
          <w:b/>
          <w:sz w:val="24"/>
          <w:lang w:val="zh-CN"/>
        </w:rPr>
      </w:pPr>
      <w:r>
        <w:rPr>
          <w:rFonts w:hint="eastAsia" w:ascii="宋体" w:hAnsi="宋体" w:cs="宋体"/>
          <w:b/>
          <w:sz w:val="24"/>
          <w:lang w:val="zh-CN"/>
        </w:rPr>
        <w:t>工程概况：</w:t>
      </w:r>
    </w:p>
    <w:p>
      <w:pPr>
        <w:snapToGrid w:val="0"/>
        <w:spacing w:line="440" w:lineRule="atLeast"/>
        <w:ind w:left="239" w:leftChars="114" w:firstLine="240" w:firstLineChars="100"/>
        <w:rPr>
          <w:rFonts w:ascii="宋体" w:hAnsi="宋体" w:cs="宋体"/>
          <w:b/>
          <w:szCs w:val="21"/>
        </w:rPr>
      </w:pPr>
      <w:r>
        <w:rPr>
          <w:rFonts w:hint="eastAsia" w:ascii="宋体" w:hAnsi="宋体" w:cs="宋体"/>
          <w:bCs/>
          <w:sz w:val="24"/>
          <w:lang w:eastAsia="zh-CN"/>
        </w:rPr>
        <w:t>创新村党群服务中心装修工程</w:t>
      </w:r>
      <w:r>
        <w:rPr>
          <w:rFonts w:hint="eastAsia" w:ascii="宋体" w:hAnsi="宋体" w:cs="宋体"/>
          <w:bCs/>
          <w:sz w:val="24"/>
          <w:lang w:val="en-US" w:eastAsia="zh-CN"/>
        </w:rPr>
        <w:t>，位于江阴市申港街道创新村村委</w:t>
      </w:r>
      <w:r>
        <w:rPr>
          <w:rFonts w:hint="eastAsia" w:ascii="宋体" w:hAnsi="宋体" w:cs="宋体"/>
          <w:bCs/>
          <w:sz w:val="24"/>
        </w:rPr>
        <w:t>。本次改造的内容为</w:t>
      </w:r>
      <w:r>
        <w:rPr>
          <w:rFonts w:hint="eastAsia" w:ascii="宋体" w:hAnsi="宋体" w:cs="宋体"/>
          <w:bCs/>
          <w:sz w:val="24"/>
          <w:lang w:val="en-US" w:eastAsia="zh-CN"/>
        </w:rPr>
        <w:t>室内装饰</w:t>
      </w:r>
      <w:r>
        <w:rPr>
          <w:rFonts w:hint="eastAsia" w:ascii="宋体" w:hAnsi="宋体" w:cs="宋体"/>
          <w:bCs/>
          <w:sz w:val="24"/>
        </w:rPr>
        <w:t>以及配套水电的安装。总改造面积约</w:t>
      </w:r>
      <w:r>
        <w:rPr>
          <w:rFonts w:hint="eastAsia" w:ascii="宋体" w:hAnsi="宋体" w:cs="宋体"/>
          <w:bCs/>
          <w:sz w:val="24"/>
          <w:lang w:val="en-US" w:eastAsia="zh-CN"/>
        </w:rPr>
        <w:t>1162.44</w:t>
      </w:r>
      <w:r>
        <w:rPr>
          <w:rFonts w:hint="eastAsia" w:ascii="宋体" w:hAnsi="宋体" w:cs="宋体"/>
          <w:bCs/>
          <w:sz w:val="24"/>
        </w:rPr>
        <w:t>㎡。</w:t>
      </w:r>
    </w:p>
    <w:p>
      <w:pPr>
        <w:numPr>
          <w:ilvl w:val="0"/>
          <w:numId w:val="1"/>
        </w:numPr>
        <w:snapToGrid w:val="0"/>
        <w:spacing w:line="440" w:lineRule="atLeast"/>
        <w:rPr>
          <w:rFonts w:ascii="宋体" w:hAnsi="宋体" w:cs="宋体"/>
          <w:bCs/>
          <w:sz w:val="24"/>
          <w:lang w:val="zh-CN"/>
        </w:rPr>
      </w:pPr>
      <w:r>
        <w:rPr>
          <w:rFonts w:hint="eastAsia" w:ascii="宋体" w:hAnsi="宋体" w:cs="宋体"/>
          <w:b/>
          <w:sz w:val="24"/>
          <w:lang w:val="zh-CN"/>
        </w:rPr>
        <w:t>招标范围：</w:t>
      </w:r>
    </w:p>
    <w:p>
      <w:pPr>
        <w:snapToGrid w:val="0"/>
        <w:spacing w:line="440" w:lineRule="atLeast"/>
        <w:ind w:left="239" w:leftChars="114" w:firstLine="240" w:firstLineChars="100"/>
        <w:rPr>
          <w:rFonts w:ascii="宋体" w:hAnsi="宋体" w:cs="宋体"/>
          <w:bCs/>
          <w:sz w:val="24"/>
          <w:lang w:val="zh-CN"/>
        </w:rPr>
      </w:pPr>
      <w:r>
        <w:rPr>
          <w:rFonts w:hint="eastAsia" w:ascii="宋体" w:hAnsi="宋体" w:cs="宋体"/>
          <w:bCs/>
          <w:sz w:val="24"/>
          <w:lang w:val="zh-CN"/>
        </w:rPr>
        <w:t>拟建《</w:t>
      </w:r>
      <w:r>
        <w:rPr>
          <w:rFonts w:hint="eastAsia" w:ascii="宋体" w:hAnsi="宋体" w:cs="宋体"/>
          <w:bCs/>
          <w:sz w:val="24"/>
        </w:rPr>
        <w:t>创新村党群服务中心装修</w:t>
      </w:r>
      <w:r>
        <w:rPr>
          <w:rFonts w:hint="eastAsia" w:ascii="宋体" w:hAnsi="宋体" w:cs="宋体"/>
          <w:bCs/>
          <w:sz w:val="24"/>
          <w:lang w:eastAsia="zh-CN"/>
        </w:rPr>
        <w:t>设计工程施工图</w:t>
      </w:r>
      <w:r>
        <w:rPr>
          <w:rFonts w:hint="eastAsia" w:ascii="宋体" w:hAnsi="宋体" w:cs="宋体"/>
          <w:bCs/>
          <w:sz w:val="24"/>
          <w:lang w:val="zh-CN"/>
        </w:rPr>
        <w:t>》施工图设计中的所有工程，包括装饰、水电安装</w:t>
      </w:r>
      <w:r>
        <w:rPr>
          <w:rFonts w:hint="eastAsia" w:ascii="宋体" w:hAnsi="宋体" w:cs="宋体"/>
          <w:bCs/>
          <w:sz w:val="24"/>
        </w:rPr>
        <w:t>等</w:t>
      </w:r>
      <w:r>
        <w:rPr>
          <w:rFonts w:hint="eastAsia" w:ascii="宋体" w:hAnsi="宋体" w:cs="宋体"/>
          <w:bCs/>
          <w:sz w:val="24"/>
          <w:lang w:val="zh-CN"/>
        </w:rPr>
        <w:t>。</w:t>
      </w:r>
    </w:p>
    <w:p>
      <w:pPr>
        <w:numPr>
          <w:ilvl w:val="0"/>
          <w:numId w:val="1"/>
        </w:numPr>
        <w:snapToGrid w:val="0"/>
        <w:spacing w:line="440" w:lineRule="atLeast"/>
        <w:rPr>
          <w:rFonts w:ascii="宋体" w:hAnsi="宋体" w:cs="宋体"/>
          <w:b/>
          <w:sz w:val="24"/>
          <w:lang w:val="zh-CN"/>
        </w:rPr>
      </w:pPr>
      <w:r>
        <w:rPr>
          <w:rFonts w:hint="eastAsia" w:ascii="宋体" w:hAnsi="宋体" w:cs="宋体"/>
          <w:b/>
          <w:sz w:val="24"/>
          <w:lang w:val="zh-CN"/>
        </w:rPr>
        <w:t>编制依据：</w:t>
      </w:r>
    </w:p>
    <w:p>
      <w:pPr>
        <w:numPr>
          <w:ilvl w:val="0"/>
          <w:numId w:val="2"/>
        </w:numPr>
        <w:spacing w:line="440" w:lineRule="exact"/>
        <w:ind w:left="1265" w:right="25" w:rightChars="12"/>
        <w:rPr>
          <w:rFonts w:ascii="宋体" w:hAnsi="宋体" w:cs="宋体"/>
          <w:sz w:val="24"/>
        </w:rPr>
      </w:pPr>
      <w:r>
        <w:rPr>
          <w:rFonts w:hint="eastAsia" w:ascii="宋体" w:hAnsi="宋体" w:cs="宋体"/>
          <w:bCs/>
          <w:sz w:val="24"/>
          <w:lang w:eastAsia="zh-CN"/>
        </w:rPr>
        <w:t>创新村党群服务中心装修工程</w:t>
      </w:r>
      <w:r>
        <w:rPr>
          <w:rFonts w:hint="eastAsia" w:ascii="宋体" w:hAnsi="宋体" w:cs="宋体"/>
          <w:bCs/>
          <w:sz w:val="24"/>
          <w:lang w:val="zh-CN"/>
        </w:rPr>
        <w:t>招标文件。</w:t>
      </w:r>
    </w:p>
    <w:p>
      <w:pPr>
        <w:numPr>
          <w:ilvl w:val="0"/>
          <w:numId w:val="2"/>
        </w:numPr>
        <w:spacing w:line="440" w:lineRule="exact"/>
        <w:ind w:left="1265" w:right="25" w:rightChars="12"/>
        <w:rPr>
          <w:rFonts w:ascii="宋体" w:hAnsi="宋体" w:cs="宋体"/>
          <w:sz w:val="24"/>
          <w:lang w:val="zh-CN"/>
        </w:rPr>
      </w:pPr>
      <w:r>
        <w:rPr>
          <w:rFonts w:hint="eastAsia" w:ascii="宋体" w:hAnsi="宋体" w:cs="宋体"/>
          <w:sz w:val="24"/>
        </w:rPr>
        <w:t>建设单位提供的</w:t>
      </w:r>
      <w:r>
        <w:rPr>
          <w:rFonts w:hint="eastAsia" w:ascii="宋体" w:hAnsi="宋体" w:cs="宋体"/>
          <w:sz w:val="24"/>
          <w:lang w:val="zh-CN"/>
        </w:rPr>
        <w:t>设计的施工图</w:t>
      </w:r>
      <w:r>
        <w:rPr>
          <w:rFonts w:hint="eastAsia" w:ascii="宋体" w:hAnsi="宋体" w:cs="宋体"/>
          <w:sz w:val="24"/>
        </w:rPr>
        <w:t>。</w:t>
      </w:r>
    </w:p>
    <w:p>
      <w:pPr>
        <w:numPr>
          <w:ilvl w:val="0"/>
          <w:numId w:val="2"/>
        </w:numPr>
        <w:spacing w:line="440" w:lineRule="exact"/>
        <w:ind w:left="1265" w:right="25" w:rightChars="12"/>
        <w:rPr>
          <w:rFonts w:ascii="宋体" w:hAnsi="宋体" w:cs="宋体"/>
          <w:sz w:val="24"/>
          <w:szCs w:val="24"/>
        </w:rPr>
      </w:pPr>
      <w:r>
        <w:rPr>
          <w:rFonts w:hint="eastAsia" w:ascii="宋体" w:hAnsi="宋体"/>
          <w:sz w:val="24"/>
          <w:szCs w:val="24"/>
        </w:rPr>
        <w:t>《建设工程工程量清单计价规范》GB50500-2013、</w:t>
      </w:r>
      <w:r>
        <w:rPr>
          <w:rFonts w:hint="eastAsia" w:ascii="宋体" w:hAnsi="宋体" w:cs="宋体"/>
          <w:sz w:val="24"/>
          <w:szCs w:val="24"/>
          <w:lang w:val="zh-CN"/>
        </w:rPr>
        <w:t>《</w:t>
      </w:r>
      <w:r>
        <w:rPr>
          <w:rFonts w:hint="eastAsia" w:ascii="宋体" w:hAnsi="宋体" w:cs="宋体"/>
          <w:sz w:val="24"/>
          <w:szCs w:val="24"/>
        </w:rPr>
        <w:t>通用安装工程工程量计算规范》（GB50856-2013）、</w:t>
      </w:r>
      <w:r>
        <w:rPr>
          <w:rFonts w:hint="eastAsia" w:ascii="宋体" w:hAnsi="宋体" w:cs="宋体"/>
          <w:sz w:val="24"/>
          <w:szCs w:val="24"/>
          <w:lang w:val="zh-CN"/>
        </w:rPr>
        <w:t>《房屋建筑与装饰工程工程量计算规范》（GB50854-2013）</w:t>
      </w:r>
      <w:r>
        <w:rPr>
          <w:rFonts w:hint="eastAsia" w:ascii="宋体" w:hAnsi="宋体" w:cs="宋体"/>
          <w:sz w:val="24"/>
          <w:szCs w:val="24"/>
        </w:rPr>
        <w:t>。</w:t>
      </w:r>
    </w:p>
    <w:p>
      <w:pPr>
        <w:numPr>
          <w:ilvl w:val="0"/>
          <w:numId w:val="2"/>
        </w:numPr>
        <w:spacing w:line="440" w:lineRule="exact"/>
        <w:ind w:left="1265" w:right="25" w:rightChars="12"/>
        <w:rPr>
          <w:rFonts w:ascii="宋体" w:hAnsi="宋体" w:cs="宋体"/>
          <w:sz w:val="24"/>
          <w:szCs w:val="24"/>
        </w:rPr>
      </w:pPr>
      <w:r>
        <w:rPr>
          <w:rFonts w:hint="eastAsia" w:ascii="宋体" w:hAnsi="宋体" w:cs="宋体"/>
          <w:sz w:val="24"/>
          <w:szCs w:val="24"/>
        </w:rPr>
        <w:t>《江苏省安装工程计价表》（2014）</w:t>
      </w:r>
      <w:r>
        <w:rPr>
          <w:rFonts w:hint="eastAsia" w:ascii="宋体" w:hAnsi="宋体"/>
          <w:sz w:val="24"/>
          <w:szCs w:val="24"/>
        </w:rPr>
        <w:t>、</w:t>
      </w:r>
      <w:r>
        <w:rPr>
          <w:rFonts w:hint="eastAsia" w:ascii="宋体" w:hAnsi="宋体" w:cs="宋体"/>
          <w:sz w:val="24"/>
          <w:szCs w:val="24"/>
        </w:rPr>
        <w:t>《江苏省建筑与装饰工程计价定额》（2014）。</w:t>
      </w:r>
    </w:p>
    <w:p>
      <w:pPr>
        <w:numPr>
          <w:ilvl w:val="0"/>
          <w:numId w:val="2"/>
        </w:numPr>
        <w:spacing w:line="440" w:lineRule="exact"/>
        <w:ind w:left="1265" w:right="25" w:rightChars="12"/>
        <w:rPr>
          <w:rFonts w:ascii="宋体" w:hAnsi="宋体" w:cs="宋体"/>
          <w:sz w:val="24"/>
          <w:lang w:val="zh-CN"/>
        </w:rPr>
      </w:pPr>
      <w:r>
        <w:rPr>
          <w:rFonts w:hint="eastAsia" w:ascii="宋体" w:hAnsi="宋体" w:cs="宋体"/>
          <w:sz w:val="24"/>
          <w:szCs w:val="24"/>
          <w:lang w:val="zh-CN"/>
        </w:rPr>
        <w:t>《江苏省建设工</w:t>
      </w:r>
      <w:r>
        <w:rPr>
          <w:rFonts w:hint="eastAsia" w:ascii="宋体" w:hAnsi="宋体" w:cs="宋体"/>
          <w:sz w:val="24"/>
          <w:lang w:val="zh-CN"/>
        </w:rPr>
        <w:t>程费用定额》（2014）营改增后调整及其他相关文件及甲方要求。</w:t>
      </w:r>
    </w:p>
    <w:p>
      <w:pPr>
        <w:numPr>
          <w:ilvl w:val="0"/>
          <w:numId w:val="2"/>
        </w:numPr>
        <w:spacing w:line="440" w:lineRule="exact"/>
        <w:ind w:left="1265" w:right="25" w:rightChars="12"/>
        <w:rPr>
          <w:rFonts w:ascii="宋体" w:hAnsi="宋体" w:cs="宋体"/>
          <w:sz w:val="24"/>
          <w:lang w:val="zh-CN"/>
        </w:rPr>
      </w:pPr>
      <w:r>
        <w:rPr>
          <w:rFonts w:hint="eastAsia" w:ascii="宋体" w:hAnsi="宋体" w:cs="宋体"/>
          <w:sz w:val="24"/>
          <w:lang w:val="zh-CN"/>
        </w:rPr>
        <w:t>江阴市建设局颁发的相关造价文件。</w:t>
      </w:r>
    </w:p>
    <w:p>
      <w:pPr>
        <w:numPr>
          <w:ilvl w:val="0"/>
          <w:numId w:val="2"/>
        </w:numPr>
        <w:spacing w:line="440" w:lineRule="exact"/>
        <w:ind w:left="1265" w:right="25" w:rightChars="12"/>
        <w:rPr>
          <w:rFonts w:ascii="宋体" w:hAnsi="宋体" w:cs="宋体"/>
          <w:sz w:val="24"/>
          <w:lang w:val="zh-CN"/>
        </w:rPr>
      </w:pPr>
      <w:r>
        <w:rPr>
          <w:rFonts w:hint="eastAsia" w:ascii="宋体" w:hAnsi="宋体" w:cs="宋体"/>
          <w:sz w:val="24"/>
          <w:lang w:val="zh-CN"/>
        </w:rPr>
        <w:t>本工程按锡建建市【2019】7号文有关增值税计价政策进行调整；</w:t>
      </w:r>
    </w:p>
    <w:p>
      <w:pPr>
        <w:numPr>
          <w:ilvl w:val="0"/>
          <w:numId w:val="2"/>
        </w:numPr>
        <w:spacing w:line="440" w:lineRule="exact"/>
        <w:ind w:left="1265" w:right="25" w:rightChars="12"/>
        <w:rPr>
          <w:rFonts w:ascii="宋体" w:hAnsi="宋体" w:cs="宋体"/>
          <w:sz w:val="24"/>
          <w:lang w:val="zh-CN"/>
        </w:rPr>
      </w:pPr>
      <w:r>
        <w:rPr>
          <w:rFonts w:hint="eastAsia" w:ascii="宋体" w:hAnsi="宋体" w:cs="宋体"/>
          <w:sz w:val="24"/>
          <w:lang w:val="zh-CN"/>
        </w:rPr>
        <w:t>本工程按锡建建市【2018】17号文计算扬尘污染防治增加费；</w:t>
      </w:r>
    </w:p>
    <w:p>
      <w:pPr>
        <w:numPr>
          <w:ilvl w:val="0"/>
          <w:numId w:val="2"/>
        </w:numPr>
        <w:spacing w:line="440" w:lineRule="exact"/>
        <w:ind w:left="1265" w:right="25" w:rightChars="12"/>
        <w:rPr>
          <w:rFonts w:ascii="宋体" w:hAnsi="宋体" w:cs="宋体"/>
          <w:sz w:val="24"/>
        </w:rPr>
      </w:pPr>
      <w:r>
        <w:rPr>
          <w:rFonts w:hint="eastAsia" w:ascii="宋体" w:hAnsi="宋体" w:cs="宋体"/>
          <w:sz w:val="24"/>
        </w:rPr>
        <w:t>材料价格按2019年</w:t>
      </w:r>
      <w:r>
        <w:rPr>
          <w:rFonts w:hint="eastAsia" w:ascii="宋体" w:hAnsi="宋体" w:cs="宋体"/>
          <w:sz w:val="24"/>
          <w:lang w:val="en-US" w:eastAsia="zh-CN"/>
        </w:rPr>
        <w:t>7</w:t>
      </w:r>
      <w:r>
        <w:rPr>
          <w:rFonts w:hint="eastAsia" w:ascii="宋体" w:hAnsi="宋体" w:cs="宋体"/>
          <w:sz w:val="24"/>
        </w:rPr>
        <w:t>月江阴市建设工程造价信息除税指导价，无指导价的按编标时同期市场询价计入，投标人报价时自考虑报价。</w:t>
      </w:r>
    </w:p>
    <w:p>
      <w:pPr>
        <w:numPr>
          <w:ilvl w:val="0"/>
          <w:numId w:val="2"/>
        </w:numPr>
        <w:spacing w:line="440" w:lineRule="exact"/>
        <w:ind w:left="1265" w:right="25" w:rightChars="12"/>
        <w:rPr>
          <w:rFonts w:ascii="宋体" w:hAnsi="宋体" w:cs="宋体"/>
          <w:sz w:val="24"/>
        </w:rPr>
      </w:pPr>
      <w:r>
        <w:rPr>
          <w:rFonts w:hint="eastAsia" w:ascii="宋体" w:hAnsi="宋体" w:cs="宋体"/>
          <w:sz w:val="24"/>
        </w:rPr>
        <w:t>人工费：执行《江苏省住房城乡建设厅关于发布建设工程人工工资指导价的通知》苏建函价[2019]142号。</w:t>
      </w:r>
    </w:p>
    <w:p>
      <w:pPr>
        <w:numPr>
          <w:ilvl w:val="0"/>
          <w:numId w:val="2"/>
        </w:numPr>
        <w:spacing w:line="440" w:lineRule="exact"/>
        <w:ind w:left="1265" w:right="25" w:rightChars="12"/>
        <w:rPr>
          <w:rFonts w:ascii="宋体" w:hAnsi="宋体" w:cs="宋体"/>
          <w:sz w:val="24"/>
        </w:rPr>
      </w:pPr>
      <w:r>
        <w:rPr>
          <w:rFonts w:hint="eastAsia" w:ascii="宋体" w:hAnsi="宋体" w:cs="宋体"/>
          <w:sz w:val="24"/>
        </w:rPr>
        <w:t>施工规范按照现行的施工规范和操作规程。</w:t>
      </w:r>
    </w:p>
    <w:p>
      <w:pPr>
        <w:numPr>
          <w:ilvl w:val="0"/>
          <w:numId w:val="2"/>
        </w:numPr>
        <w:spacing w:line="440" w:lineRule="exact"/>
        <w:ind w:left="1265" w:right="25" w:rightChars="12"/>
        <w:rPr>
          <w:rFonts w:ascii="宋体" w:hAnsi="宋体" w:cs="宋体"/>
          <w:sz w:val="24"/>
        </w:rPr>
      </w:pPr>
      <w:r>
        <w:rPr>
          <w:rFonts w:hint="eastAsia" w:ascii="宋体" w:hAnsi="宋体" w:cs="宋体"/>
          <w:sz w:val="24"/>
        </w:rPr>
        <w:t>本工程量清单应与招标文件、投标须知、施工图纸、工程规范、清单计价规范及相关文件等一起使用。</w:t>
      </w:r>
    </w:p>
    <w:p>
      <w:pPr>
        <w:numPr>
          <w:ilvl w:val="0"/>
          <w:numId w:val="1"/>
        </w:numPr>
        <w:snapToGrid w:val="0"/>
        <w:spacing w:line="440" w:lineRule="atLeast"/>
        <w:rPr>
          <w:rFonts w:ascii="宋体" w:hAnsi="宋体" w:cs="宋体"/>
          <w:b/>
          <w:sz w:val="24"/>
          <w:lang w:val="zh-CN"/>
        </w:rPr>
      </w:pPr>
      <w:r>
        <w:rPr>
          <w:rFonts w:hint="eastAsia" w:ascii="宋体" w:hAnsi="宋体" w:cs="宋体"/>
          <w:b/>
          <w:sz w:val="24"/>
          <w:lang w:val="zh-CN"/>
        </w:rPr>
        <w:t>工程类别：</w:t>
      </w:r>
      <w:r>
        <w:rPr>
          <w:rFonts w:hint="eastAsia" w:ascii="宋体" w:hAnsi="宋体"/>
          <w:sz w:val="24"/>
        </w:rPr>
        <w:t>装饰工程</w:t>
      </w:r>
    </w:p>
    <w:p>
      <w:pPr>
        <w:numPr>
          <w:ilvl w:val="0"/>
          <w:numId w:val="1"/>
        </w:numPr>
        <w:snapToGrid w:val="0"/>
        <w:spacing w:line="440" w:lineRule="atLeast"/>
        <w:rPr>
          <w:rFonts w:ascii="宋体" w:hAnsi="宋体" w:cs="宋体"/>
          <w:b/>
          <w:sz w:val="24"/>
          <w:lang w:val="zh-CN"/>
        </w:rPr>
      </w:pPr>
      <w:r>
        <w:rPr>
          <w:rFonts w:hint="eastAsia" w:ascii="宋体" w:hAnsi="宋体" w:cs="宋体"/>
          <w:b/>
          <w:sz w:val="24"/>
          <w:lang w:val="zh-CN"/>
        </w:rPr>
        <w:t>工程质量要求：</w:t>
      </w:r>
      <w:r>
        <w:rPr>
          <w:rFonts w:hint="eastAsia" w:ascii="宋体" w:hAnsi="宋体" w:cs="宋体"/>
          <w:bCs/>
          <w:sz w:val="24"/>
          <w:lang w:val="zh-CN"/>
        </w:rPr>
        <w:t>合格</w:t>
      </w:r>
    </w:p>
    <w:p>
      <w:pPr>
        <w:numPr>
          <w:ilvl w:val="0"/>
          <w:numId w:val="1"/>
        </w:numPr>
        <w:snapToGrid w:val="0"/>
        <w:spacing w:line="440" w:lineRule="atLeast"/>
        <w:rPr>
          <w:rFonts w:ascii="宋体" w:hAnsi="宋体" w:cs="宋体"/>
          <w:b/>
          <w:sz w:val="24"/>
          <w:lang w:val="zh-CN"/>
        </w:rPr>
      </w:pPr>
      <w:r>
        <w:rPr>
          <w:rFonts w:hint="eastAsia" w:ascii="宋体" w:hAnsi="宋体" w:cs="宋体"/>
          <w:b/>
          <w:sz w:val="24"/>
          <w:lang w:val="zh-CN"/>
        </w:rPr>
        <w:t xml:space="preserve"> 工期要求：</w:t>
      </w:r>
      <w:r>
        <w:rPr>
          <w:rFonts w:hint="eastAsia" w:ascii="宋体" w:hAnsi="宋体" w:cs="宋体"/>
          <w:bCs/>
          <w:sz w:val="24"/>
          <w:highlight w:val="none"/>
          <w:u w:val="single"/>
          <w:lang w:val="zh-CN"/>
        </w:rPr>
        <w:t xml:space="preserve"> </w:t>
      </w:r>
      <w:r>
        <w:rPr>
          <w:rFonts w:hint="eastAsia" w:ascii="宋体" w:hAnsi="宋体" w:cs="宋体"/>
          <w:bCs/>
          <w:sz w:val="24"/>
          <w:highlight w:val="none"/>
          <w:u w:val="single"/>
          <w:lang w:val="en-US" w:eastAsia="zh-CN"/>
        </w:rPr>
        <w:t xml:space="preserve"> 75  </w:t>
      </w:r>
      <w:r>
        <w:rPr>
          <w:rFonts w:hint="eastAsia" w:ascii="宋体" w:hAnsi="宋体" w:cs="宋体"/>
          <w:bCs/>
          <w:sz w:val="24"/>
          <w:lang w:val="zh-CN"/>
        </w:rPr>
        <w:t>天</w:t>
      </w:r>
    </w:p>
    <w:p>
      <w:pPr>
        <w:tabs>
          <w:tab w:val="left" w:pos="425"/>
        </w:tabs>
        <w:snapToGrid w:val="0"/>
        <w:spacing w:line="440" w:lineRule="atLeast"/>
        <w:rPr>
          <w:rFonts w:ascii="宋体" w:hAnsi="宋体" w:cs="宋体"/>
          <w:b/>
          <w:szCs w:val="21"/>
        </w:rPr>
      </w:pPr>
    </w:p>
    <w:p>
      <w:pPr>
        <w:tabs>
          <w:tab w:val="left" w:pos="425"/>
        </w:tabs>
        <w:snapToGrid w:val="0"/>
        <w:spacing w:line="440" w:lineRule="atLeast"/>
        <w:rPr>
          <w:rFonts w:ascii="宋体" w:hAnsi="宋体" w:cs="宋体"/>
          <w:b/>
          <w:szCs w:val="21"/>
          <w:lang w:val="zh-CN"/>
        </w:rPr>
      </w:pPr>
    </w:p>
    <w:p>
      <w:pPr>
        <w:tabs>
          <w:tab w:val="left" w:pos="425"/>
        </w:tabs>
        <w:snapToGrid w:val="0"/>
        <w:spacing w:line="440" w:lineRule="atLeast"/>
        <w:rPr>
          <w:rFonts w:ascii="宋体" w:hAnsi="宋体" w:cs="宋体"/>
          <w:b/>
          <w:szCs w:val="21"/>
          <w:lang w:val="zh-CN"/>
        </w:rPr>
      </w:pPr>
    </w:p>
    <w:p>
      <w:pPr>
        <w:numPr>
          <w:ilvl w:val="0"/>
          <w:numId w:val="1"/>
        </w:numPr>
        <w:snapToGrid w:val="0"/>
        <w:spacing w:line="440" w:lineRule="atLeast"/>
        <w:rPr>
          <w:rFonts w:ascii="宋体" w:hAnsi="宋体" w:cs="宋体"/>
          <w:b/>
          <w:sz w:val="24"/>
          <w:lang w:val="zh-CN"/>
        </w:rPr>
      </w:pPr>
      <w:r>
        <w:rPr>
          <w:rFonts w:hint="eastAsia" w:ascii="宋体" w:hAnsi="宋体" w:cs="宋体"/>
          <w:b/>
          <w:sz w:val="24"/>
          <w:lang w:val="zh-CN"/>
        </w:rPr>
        <w:t>不可竞争费：现场安全文明施工费、规费、税金为不可竞争费，取费标准如下表：</w:t>
      </w:r>
    </w:p>
    <w:tbl>
      <w:tblPr>
        <w:tblStyle w:val="8"/>
        <w:tblpPr w:leftFromText="180" w:rightFromText="180" w:vertAnchor="text" w:horzAnchor="page" w:tblpX="1502" w:tblpY="178"/>
        <w:tblOverlap w:val="never"/>
        <w:tblW w:w="10013" w:type="dxa"/>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081"/>
        <w:gridCol w:w="1399"/>
        <w:gridCol w:w="3594"/>
        <w:gridCol w:w="1488"/>
        <w:gridCol w:w="1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trPr>
        <w:tc>
          <w:tcPr>
            <w:tcW w:w="970"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序号</w:t>
            </w:r>
          </w:p>
        </w:tc>
        <w:tc>
          <w:tcPr>
            <w:tcW w:w="2480" w:type="dxa"/>
            <w:gridSpan w:val="2"/>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费用名称</w:t>
            </w:r>
          </w:p>
        </w:tc>
        <w:tc>
          <w:tcPr>
            <w:tcW w:w="3594"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计算基础</w:t>
            </w:r>
          </w:p>
        </w:tc>
        <w:tc>
          <w:tcPr>
            <w:tcW w:w="1488" w:type="dxa"/>
            <w:vAlign w:val="center"/>
          </w:tcPr>
          <w:p>
            <w:pPr>
              <w:autoSpaceDE w:val="0"/>
              <w:autoSpaceDN w:val="0"/>
              <w:adjustRightInd w:val="0"/>
              <w:spacing w:line="440" w:lineRule="exact"/>
              <w:ind w:right="170"/>
              <w:jc w:val="center"/>
              <w:rPr>
                <w:rFonts w:ascii="宋体" w:hAnsi="宋体"/>
                <w:szCs w:val="21"/>
              </w:rPr>
            </w:pPr>
            <w:r>
              <w:rPr>
                <w:rFonts w:hint="eastAsia" w:cs="宋体"/>
                <w:sz w:val="24"/>
                <w:lang w:eastAsia="zh-CN"/>
              </w:rPr>
              <w:t>装饰</w:t>
            </w:r>
            <w:r>
              <w:rPr>
                <w:rFonts w:hint="eastAsia" w:cs="宋体"/>
                <w:sz w:val="24"/>
              </w:rPr>
              <w:t>工程</w:t>
            </w:r>
          </w:p>
        </w:tc>
        <w:tc>
          <w:tcPr>
            <w:tcW w:w="1481" w:type="dxa"/>
            <w:vAlign w:val="center"/>
          </w:tcPr>
          <w:p>
            <w:pPr>
              <w:autoSpaceDE w:val="0"/>
              <w:autoSpaceDN w:val="0"/>
              <w:adjustRightInd w:val="0"/>
              <w:spacing w:line="440" w:lineRule="exact"/>
              <w:ind w:right="170"/>
              <w:jc w:val="center"/>
              <w:rPr>
                <w:rFonts w:cs="宋体"/>
                <w:sz w:val="24"/>
              </w:rPr>
            </w:pPr>
            <w:r>
              <w:rPr>
                <w:rFonts w:hint="eastAsia" w:cs="宋体"/>
                <w:sz w:val="24"/>
              </w:rPr>
              <w:t>安装工程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9" w:hRule="atLeast"/>
        </w:trPr>
        <w:tc>
          <w:tcPr>
            <w:tcW w:w="970" w:type="dxa"/>
            <w:vMerge w:val="restart"/>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一</w:t>
            </w:r>
          </w:p>
        </w:tc>
        <w:tc>
          <w:tcPr>
            <w:tcW w:w="1081" w:type="dxa"/>
            <w:vMerge w:val="restart"/>
            <w:vAlign w:val="center"/>
          </w:tcPr>
          <w:p>
            <w:pPr>
              <w:autoSpaceDE w:val="0"/>
              <w:autoSpaceDN w:val="0"/>
              <w:adjustRightInd w:val="0"/>
              <w:spacing w:line="440" w:lineRule="exact"/>
              <w:ind w:right="170"/>
              <w:rPr>
                <w:rFonts w:ascii="宋体" w:hAnsi="宋体"/>
                <w:szCs w:val="21"/>
              </w:rPr>
            </w:pPr>
            <w:r>
              <w:rPr>
                <w:rFonts w:hint="eastAsia" w:ascii="宋体" w:hAnsi="宋体"/>
                <w:szCs w:val="21"/>
              </w:rPr>
              <w:t>现场安全文明施工费</w:t>
            </w:r>
          </w:p>
        </w:tc>
        <w:tc>
          <w:tcPr>
            <w:tcW w:w="1399"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基本费</w:t>
            </w:r>
          </w:p>
        </w:tc>
        <w:tc>
          <w:tcPr>
            <w:tcW w:w="3594" w:type="dxa"/>
            <w:vAlign w:val="bottom"/>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cs="宋体"/>
                <w:szCs w:val="21"/>
              </w:rPr>
              <w:t>分部分项综合费用+单价措施项目综合费用-参数除税工程设备费</w:t>
            </w:r>
          </w:p>
        </w:tc>
        <w:tc>
          <w:tcPr>
            <w:tcW w:w="1488"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1.7%</w:t>
            </w:r>
          </w:p>
        </w:tc>
        <w:tc>
          <w:tcPr>
            <w:tcW w:w="1481"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trPr>
        <w:tc>
          <w:tcPr>
            <w:tcW w:w="970" w:type="dxa"/>
            <w:vMerge w:val="continue"/>
            <w:vAlign w:val="center"/>
          </w:tcPr>
          <w:p>
            <w:pPr>
              <w:autoSpaceDE w:val="0"/>
              <w:autoSpaceDN w:val="0"/>
              <w:adjustRightInd w:val="0"/>
              <w:spacing w:line="440" w:lineRule="exact"/>
              <w:ind w:left="-357" w:right="170" w:firstLine="315" w:firstLineChars="150"/>
              <w:jc w:val="center"/>
              <w:rPr>
                <w:rFonts w:ascii="宋体" w:hAnsi="宋体"/>
                <w:szCs w:val="21"/>
              </w:rPr>
            </w:pPr>
          </w:p>
        </w:tc>
        <w:tc>
          <w:tcPr>
            <w:tcW w:w="1081" w:type="dxa"/>
            <w:vMerge w:val="continue"/>
            <w:vAlign w:val="bottom"/>
          </w:tcPr>
          <w:p>
            <w:pPr>
              <w:autoSpaceDE w:val="0"/>
              <w:autoSpaceDN w:val="0"/>
              <w:adjustRightInd w:val="0"/>
              <w:spacing w:line="440" w:lineRule="exact"/>
              <w:ind w:left="-357" w:right="170" w:firstLine="315" w:firstLineChars="150"/>
              <w:jc w:val="left"/>
              <w:rPr>
                <w:rFonts w:ascii="宋体" w:hAnsi="宋体"/>
                <w:szCs w:val="21"/>
              </w:rPr>
            </w:pPr>
          </w:p>
        </w:tc>
        <w:tc>
          <w:tcPr>
            <w:tcW w:w="1399"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 xml:space="preserve">省级标化增 </w:t>
            </w:r>
          </w:p>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加费</w:t>
            </w:r>
          </w:p>
        </w:tc>
        <w:tc>
          <w:tcPr>
            <w:tcW w:w="3594"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cs="宋体"/>
                <w:szCs w:val="21"/>
              </w:rPr>
              <w:t>分部分项综合费用+单价措施项目综合费用-参数除税工程设备费</w:t>
            </w:r>
          </w:p>
        </w:tc>
        <w:tc>
          <w:tcPr>
            <w:tcW w:w="1488"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0%</w:t>
            </w:r>
          </w:p>
        </w:tc>
        <w:tc>
          <w:tcPr>
            <w:tcW w:w="1481"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trPr>
        <w:tc>
          <w:tcPr>
            <w:tcW w:w="970" w:type="dxa"/>
            <w:vMerge w:val="continue"/>
            <w:vAlign w:val="center"/>
          </w:tcPr>
          <w:p>
            <w:pPr>
              <w:autoSpaceDE w:val="0"/>
              <w:autoSpaceDN w:val="0"/>
              <w:adjustRightInd w:val="0"/>
              <w:spacing w:line="440" w:lineRule="exact"/>
              <w:ind w:left="-357" w:right="170" w:firstLine="315" w:firstLineChars="150"/>
              <w:jc w:val="center"/>
              <w:rPr>
                <w:rFonts w:ascii="宋体" w:hAnsi="宋体"/>
                <w:szCs w:val="21"/>
              </w:rPr>
            </w:pPr>
          </w:p>
        </w:tc>
        <w:tc>
          <w:tcPr>
            <w:tcW w:w="1081" w:type="dxa"/>
            <w:vMerge w:val="continue"/>
            <w:vAlign w:val="bottom"/>
          </w:tcPr>
          <w:p>
            <w:pPr>
              <w:autoSpaceDE w:val="0"/>
              <w:autoSpaceDN w:val="0"/>
              <w:adjustRightInd w:val="0"/>
              <w:spacing w:line="440" w:lineRule="exact"/>
              <w:ind w:left="-357" w:right="170" w:firstLine="315" w:firstLineChars="150"/>
              <w:jc w:val="left"/>
              <w:rPr>
                <w:rFonts w:ascii="宋体" w:hAnsi="宋体"/>
                <w:szCs w:val="21"/>
              </w:rPr>
            </w:pPr>
          </w:p>
        </w:tc>
        <w:tc>
          <w:tcPr>
            <w:tcW w:w="1399"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扬尘污染防</w:t>
            </w:r>
          </w:p>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治增加费</w:t>
            </w:r>
          </w:p>
        </w:tc>
        <w:tc>
          <w:tcPr>
            <w:tcW w:w="3594" w:type="dxa"/>
            <w:vAlign w:val="center"/>
          </w:tcPr>
          <w:p>
            <w:pPr>
              <w:autoSpaceDE w:val="0"/>
              <w:autoSpaceDN w:val="0"/>
              <w:adjustRightInd w:val="0"/>
              <w:spacing w:line="440" w:lineRule="exact"/>
              <w:ind w:left="-357" w:right="170" w:firstLine="315" w:firstLineChars="150"/>
              <w:jc w:val="center"/>
              <w:rPr>
                <w:rFonts w:ascii="宋体" w:hAnsi="宋体" w:cs="宋体"/>
                <w:szCs w:val="21"/>
              </w:rPr>
            </w:pPr>
            <w:r>
              <w:rPr>
                <w:rFonts w:hint="eastAsia" w:ascii="宋体" w:hAnsi="宋体" w:cs="宋体"/>
                <w:szCs w:val="21"/>
              </w:rPr>
              <w:t>分部分项综合费用+单价措施项目综合费用-参数除税工程设备费</w:t>
            </w:r>
          </w:p>
        </w:tc>
        <w:tc>
          <w:tcPr>
            <w:tcW w:w="1488"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0.22%</w:t>
            </w:r>
          </w:p>
        </w:tc>
        <w:tc>
          <w:tcPr>
            <w:tcW w:w="1481"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6" w:hRule="atLeast"/>
        </w:trPr>
        <w:tc>
          <w:tcPr>
            <w:tcW w:w="970" w:type="dxa"/>
            <w:vMerge w:val="restart"/>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二</w:t>
            </w:r>
          </w:p>
        </w:tc>
        <w:tc>
          <w:tcPr>
            <w:tcW w:w="1081" w:type="dxa"/>
            <w:vMerge w:val="restart"/>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规费</w:t>
            </w:r>
          </w:p>
        </w:tc>
        <w:tc>
          <w:tcPr>
            <w:tcW w:w="1399"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环境保护税</w:t>
            </w:r>
          </w:p>
        </w:tc>
        <w:tc>
          <w:tcPr>
            <w:tcW w:w="3594" w:type="dxa"/>
            <w:vMerge w:val="restart"/>
            <w:vAlign w:val="center"/>
          </w:tcPr>
          <w:p>
            <w:pPr>
              <w:autoSpaceDE w:val="0"/>
              <w:autoSpaceDN w:val="0"/>
              <w:adjustRightInd w:val="0"/>
              <w:spacing w:line="440" w:lineRule="exact"/>
              <w:ind w:left="-357" w:right="170" w:firstLine="315" w:firstLineChars="150"/>
              <w:jc w:val="right"/>
              <w:rPr>
                <w:rFonts w:ascii="宋体" w:hAnsi="宋体"/>
                <w:szCs w:val="21"/>
              </w:rPr>
            </w:pPr>
            <w:r>
              <w:rPr>
                <w:rFonts w:hint="eastAsia" w:ascii="宋体" w:hAnsi="宋体"/>
                <w:szCs w:val="21"/>
              </w:rPr>
              <w:t>分部分项综合费用+措施项目合计+其他项目合计-参数除税工程设备费</w:t>
            </w:r>
          </w:p>
        </w:tc>
        <w:tc>
          <w:tcPr>
            <w:tcW w:w="2969" w:type="dxa"/>
            <w:gridSpan w:val="2"/>
            <w:vAlign w:val="center"/>
          </w:tcPr>
          <w:p>
            <w:pPr>
              <w:autoSpaceDE w:val="0"/>
              <w:autoSpaceDN w:val="0"/>
              <w:adjustRightInd w:val="0"/>
              <w:spacing w:line="440" w:lineRule="exact"/>
              <w:ind w:right="170"/>
              <w:jc w:val="center"/>
              <w:rPr>
                <w:rFonts w:hint="default" w:ascii="宋体" w:hAnsi="宋体" w:eastAsia="宋体"/>
                <w:szCs w:val="21"/>
                <w:lang w:val="en-US" w:eastAsia="zh-CN"/>
              </w:rPr>
            </w:pPr>
            <w:r>
              <w:rPr>
                <w:rFonts w:hint="eastAsia" w:ascii="宋体" w:hAnsi="宋体"/>
                <w:szCs w:val="21"/>
              </w:rPr>
              <w:t>0%</w:t>
            </w:r>
            <w:r>
              <w:rPr>
                <w:rFonts w:hint="eastAsia" w:ascii="宋体" w:hAnsi="宋体"/>
                <w:b/>
                <w:bCs/>
                <w:szCs w:val="21"/>
                <w:lang w:eastAsia="zh-CN"/>
              </w:rPr>
              <w:t>注</w:t>
            </w:r>
            <w:r>
              <w:rPr>
                <w:rFonts w:hint="eastAsia" w:ascii="宋体" w:hAnsi="宋体"/>
                <w:b/>
                <w:bCs/>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trPr>
        <w:tc>
          <w:tcPr>
            <w:tcW w:w="970" w:type="dxa"/>
            <w:vMerge w:val="continue"/>
            <w:vAlign w:val="center"/>
          </w:tcPr>
          <w:p>
            <w:pPr>
              <w:autoSpaceDE w:val="0"/>
              <w:autoSpaceDN w:val="0"/>
              <w:adjustRightInd w:val="0"/>
              <w:spacing w:line="440" w:lineRule="exact"/>
              <w:ind w:left="-357" w:right="170" w:firstLine="315" w:firstLineChars="150"/>
              <w:jc w:val="center"/>
              <w:rPr>
                <w:rFonts w:ascii="宋体" w:hAnsi="宋体"/>
                <w:szCs w:val="21"/>
              </w:rPr>
            </w:pPr>
          </w:p>
        </w:tc>
        <w:tc>
          <w:tcPr>
            <w:tcW w:w="1081" w:type="dxa"/>
            <w:vMerge w:val="continue"/>
            <w:vAlign w:val="center"/>
          </w:tcPr>
          <w:p>
            <w:pPr>
              <w:autoSpaceDE w:val="0"/>
              <w:autoSpaceDN w:val="0"/>
              <w:adjustRightInd w:val="0"/>
              <w:spacing w:line="440" w:lineRule="exact"/>
              <w:ind w:left="-357" w:right="170" w:firstLine="315" w:firstLineChars="150"/>
              <w:jc w:val="center"/>
              <w:rPr>
                <w:rFonts w:ascii="宋体" w:hAnsi="宋体"/>
                <w:szCs w:val="21"/>
              </w:rPr>
            </w:pPr>
          </w:p>
        </w:tc>
        <w:tc>
          <w:tcPr>
            <w:tcW w:w="1399"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社会保险费</w:t>
            </w:r>
          </w:p>
        </w:tc>
        <w:tc>
          <w:tcPr>
            <w:tcW w:w="3594" w:type="dxa"/>
            <w:vMerge w:val="continue"/>
            <w:vAlign w:val="bottom"/>
          </w:tcPr>
          <w:p>
            <w:pPr>
              <w:autoSpaceDE w:val="0"/>
              <w:autoSpaceDN w:val="0"/>
              <w:adjustRightInd w:val="0"/>
              <w:spacing w:line="440" w:lineRule="exact"/>
              <w:ind w:left="-357" w:right="170" w:firstLine="315" w:firstLineChars="150"/>
              <w:jc w:val="center"/>
              <w:rPr>
                <w:rFonts w:ascii="宋体" w:hAnsi="宋体"/>
                <w:szCs w:val="21"/>
              </w:rPr>
            </w:pPr>
          </w:p>
        </w:tc>
        <w:tc>
          <w:tcPr>
            <w:tcW w:w="1488"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2.4%</w:t>
            </w:r>
          </w:p>
        </w:tc>
        <w:tc>
          <w:tcPr>
            <w:tcW w:w="1481"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970" w:type="dxa"/>
            <w:vMerge w:val="continue"/>
            <w:vAlign w:val="center"/>
          </w:tcPr>
          <w:p>
            <w:pPr>
              <w:autoSpaceDE w:val="0"/>
              <w:autoSpaceDN w:val="0"/>
              <w:adjustRightInd w:val="0"/>
              <w:spacing w:line="440" w:lineRule="exact"/>
              <w:ind w:left="-357" w:right="170" w:firstLine="315" w:firstLineChars="150"/>
              <w:jc w:val="center"/>
              <w:rPr>
                <w:rFonts w:ascii="宋体" w:hAnsi="宋体"/>
                <w:szCs w:val="21"/>
              </w:rPr>
            </w:pPr>
          </w:p>
        </w:tc>
        <w:tc>
          <w:tcPr>
            <w:tcW w:w="1081" w:type="dxa"/>
            <w:vMerge w:val="continue"/>
            <w:vAlign w:val="center"/>
          </w:tcPr>
          <w:p>
            <w:pPr>
              <w:autoSpaceDE w:val="0"/>
              <w:autoSpaceDN w:val="0"/>
              <w:adjustRightInd w:val="0"/>
              <w:spacing w:line="440" w:lineRule="exact"/>
              <w:ind w:left="-357" w:right="170" w:firstLine="315" w:firstLineChars="150"/>
              <w:jc w:val="center"/>
              <w:rPr>
                <w:rFonts w:ascii="宋体" w:hAnsi="宋体"/>
                <w:szCs w:val="21"/>
              </w:rPr>
            </w:pPr>
          </w:p>
        </w:tc>
        <w:tc>
          <w:tcPr>
            <w:tcW w:w="1399"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住房公积金</w:t>
            </w:r>
          </w:p>
        </w:tc>
        <w:tc>
          <w:tcPr>
            <w:tcW w:w="3594" w:type="dxa"/>
            <w:vMerge w:val="continue"/>
            <w:vAlign w:val="bottom"/>
          </w:tcPr>
          <w:p>
            <w:pPr>
              <w:autoSpaceDE w:val="0"/>
              <w:autoSpaceDN w:val="0"/>
              <w:adjustRightInd w:val="0"/>
              <w:spacing w:line="440" w:lineRule="exact"/>
              <w:ind w:left="-357" w:right="170" w:firstLine="315" w:firstLineChars="150"/>
              <w:jc w:val="center"/>
              <w:rPr>
                <w:rFonts w:ascii="宋体" w:hAnsi="宋体"/>
                <w:szCs w:val="21"/>
              </w:rPr>
            </w:pPr>
          </w:p>
        </w:tc>
        <w:tc>
          <w:tcPr>
            <w:tcW w:w="1488"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0.42%</w:t>
            </w:r>
          </w:p>
        </w:tc>
        <w:tc>
          <w:tcPr>
            <w:tcW w:w="1481"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9" w:hRule="atLeast"/>
        </w:trPr>
        <w:tc>
          <w:tcPr>
            <w:tcW w:w="970"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三</w:t>
            </w:r>
          </w:p>
        </w:tc>
        <w:tc>
          <w:tcPr>
            <w:tcW w:w="2480" w:type="dxa"/>
            <w:gridSpan w:val="2"/>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税金</w:t>
            </w:r>
          </w:p>
        </w:tc>
        <w:tc>
          <w:tcPr>
            <w:tcW w:w="3594" w:type="dxa"/>
            <w:vAlign w:val="center"/>
          </w:tcPr>
          <w:p>
            <w:pPr>
              <w:jc w:val="center"/>
              <w:rPr>
                <w:rFonts w:ascii="宋体" w:hAnsi="宋体" w:cs="宋体"/>
                <w:szCs w:val="21"/>
              </w:rPr>
            </w:pPr>
            <w:r>
              <w:rPr>
                <w:rFonts w:hint="eastAsia" w:ascii="宋体" w:hAnsi="宋体" w:cs="宋体"/>
                <w:szCs w:val="21"/>
              </w:rPr>
              <w:t>分部分项工程费+措施项目费+</w:t>
            </w:r>
          </w:p>
          <w:p>
            <w:pPr>
              <w:jc w:val="center"/>
              <w:rPr>
                <w:rFonts w:ascii="宋体" w:hAnsi="宋体" w:cs="宋体"/>
                <w:szCs w:val="21"/>
              </w:rPr>
            </w:pPr>
            <w:r>
              <w:rPr>
                <w:rFonts w:hint="eastAsia" w:ascii="宋体" w:hAnsi="宋体" w:cs="宋体"/>
                <w:szCs w:val="21"/>
              </w:rPr>
              <w:t>其他项目费+规费-（除税甲供材</w:t>
            </w:r>
          </w:p>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cs="宋体"/>
                <w:szCs w:val="21"/>
              </w:rPr>
              <w:t>料费+除税甲供设备费）/1.01</w:t>
            </w:r>
          </w:p>
        </w:tc>
        <w:tc>
          <w:tcPr>
            <w:tcW w:w="1488"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9%</w:t>
            </w:r>
          </w:p>
        </w:tc>
        <w:tc>
          <w:tcPr>
            <w:tcW w:w="1481" w:type="dxa"/>
            <w:vAlign w:val="center"/>
          </w:tcPr>
          <w:p>
            <w:pPr>
              <w:autoSpaceDE w:val="0"/>
              <w:autoSpaceDN w:val="0"/>
              <w:adjustRightInd w:val="0"/>
              <w:spacing w:line="440" w:lineRule="exact"/>
              <w:ind w:left="-357" w:right="170" w:firstLine="315" w:firstLineChars="150"/>
              <w:jc w:val="center"/>
              <w:rPr>
                <w:rFonts w:ascii="宋体" w:hAnsi="宋体"/>
                <w:szCs w:val="21"/>
              </w:rPr>
            </w:pPr>
            <w:r>
              <w:rPr>
                <w:rFonts w:hint="eastAsia" w:ascii="宋体" w:hAnsi="宋体"/>
                <w:szCs w:val="21"/>
              </w:rPr>
              <w:t>9%</w:t>
            </w:r>
          </w:p>
        </w:tc>
      </w:tr>
    </w:tbl>
    <w:p>
      <w:pPr>
        <w:autoSpaceDE w:val="0"/>
        <w:autoSpaceDN w:val="0"/>
        <w:adjustRightInd w:val="0"/>
        <w:snapToGrid w:val="0"/>
        <w:spacing w:line="440" w:lineRule="atLeast"/>
        <w:ind w:left="447"/>
        <w:rPr>
          <w:rFonts w:ascii="宋体" w:hAnsi="宋体" w:cs="宋体"/>
          <w:szCs w:val="21"/>
          <w:lang w:val="zh-CN"/>
        </w:rPr>
      </w:pPr>
    </w:p>
    <w:p>
      <w:pPr>
        <w:snapToGrid w:val="0"/>
        <w:spacing w:line="360" w:lineRule="auto"/>
        <w:ind w:firstLine="421"/>
        <w:rPr>
          <w:rFonts w:hint="eastAsia" w:ascii="宋体" w:hAnsi="宋体" w:cs="宋体"/>
          <w:b/>
          <w:szCs w:val="21"/>
        </w:rPr>
      </w:pPr>
      <w:r>
        <w:rPr>
          <w:rFonts w:hint="eastAsia" w:ascii="宋体" w:hAnsi="宋体" w:cs="宋体"/>
          <w:b/>
          <w:szCs w:val="21"/>
        </w:rPr>
        <w:t>注1：从2019年1月1日起， “环境保护税”由各类建设工程的建设方（含代建方）向税务机关缴纳。</w:t>
      </w:r>
    </w:p>
    <w:p>
      <w:pPr>
        <w:snapToGrid w:val="0"/>
        <w:spacing w:line="360" w:lineRule="auto"/>
        <w:ind w:firstLine="421"/>
        <w:rPr>
          <w:rFonts w:hint="eastAsia" w:ascii="宋体" w:hAnsi="宋体" w:cs="宋体"/>
          <w:b/>
          <w:szCs w:val="21"/>
        </w:rPr>
      </w:pPr>
      <w:r>
        <w:rPr>
          <w:rFonts w:hint="eastAsia" w:ascii="宋体" w:hAnsi="宋体" w:cs="宋体"/>
          <w:b/>
          <w:szCs w:val="21"/>
        </w:rPr>
        <w:t>据此规定，建设工程计价中不再计列“环境保护税”。</w:t>
      </w:r>
    </w:p>
    <w:p>
      <w:pPr>
        <w:numPr>
          <w:ilvl w:val="0"/>
          <w:numId w:val="1"/>
        </w:numPr>
        <w:snapToGrid w:val="0"/>
        <w:spacing w:line="440" w:lineRule="atLeast"/>
        <w:rPr>
          <w:rFonts w:ascii="宋体" w:hAnsi="宋体" w:cs="宋体"/>
          <w:b/>
          <w:sz w:val="24"/>
        </w:rPr>
      </w:pPr>
      <w:r>
        <w:rPr>
          <w:rFonts w:hint="eastAsia" w:ascii="宋体" w:hAnsi="宋体" w:cs="宋体"/>
          <w:b/>
          <w:sz w:val="24"/>
          <w:lang w:val="zh-CN"/>
        </w:rPr>
        <w:t>其他说明：</w:t>
      </w:r>
    </w:p>
    <w:p>
      <w:pPr>
        <w:snapToGrid w:val="0"/>
        <w:spacing w:line="440" w:lineRule="atLeast"/>
        <w:rPr>
          <w:rFonts w:ascii="宋体" w:hAnsi="宋体"/>
          <w:sz w:val="24"/>
        </w:rPr>
      </w:pPr>
      <w:r>
        <w:rPr>
          <w:rFonts w:hint="eastAsia" w:ascii="宋体" w:hAnsi="宋体" w:cs="宋体"/>
          <w:b/>
          <w:sz w:val="24"/>
        </w:rPr>
        <w:t xml:space="preserve">       </w:t>
      </w:r>
      <w:r>
        <w:rPr>
          <w:rFonts w:hint="eastAsia" w:ascii="宋体" w:hAnsi="宋体" w:cs="宋体"/>
          <w:bCs/>
          <w:sz w:val="24"/>
        </w:rPr>
        <w:t>①建筑工程：</w:t>
      </w:r>
    </w:p>
    <w:p>
      <w:pPr>
        <w:numPr>
          <w:ilvl w:val="0"/>
          <w:numId w:val="3"/>
        </w:numPr>
        <w:autoSpaceDE w:val="0"/>
        <w:autoSpaceDN w:val="0"/>
        <w:adjustRightInd w:val="0"/>
        <w:spacing w:line="420" w:lineRule="exact"/>
        <w:ind w:right="170"/>
        <w:jc w:val="left"/>
        <w:rPr>
          <w:rFonts w:ascii="宋体" w:hAnsi="宋体"/>
          <w:sz w:val="24"/>
        </w:rPr>
      </w:pPr>
      <w:r>
        <w:rPr>
          <w:rFonts w:hint="eastAsia"/>
          <w:sz w:val="24"/>
        </w:rPr>
        <w:t>按</w:t>
      </w:r>
      <w:r>
        <w:rPr>
          <w:sz w:val="24"/>
        </w:rPr>
        <w:t>《江阴市发展预拌砂浆实施办法》</w:t>
      </w:r>
      <w:r>
        <w:rPr>
          <w:rFonts w:hint="eastAsia"/>
          <w:sz w:val="24"/>
        </w:rPr>
        <w:t>规定，无论清单特征中是否描述，本工程所有砂浆均应采用预拌砂浆。</w:t>
      </w:r>
    </w:p>
    <w:p>
      <w:pPr>
        <w:numPr>
          <w:ilvl w:val="0"/>
          <w:numId w:val="3"/>
        </w:numPr>
        <w:autoSpaceDE w:val="0"/>
        <w:autoSpaceDN w:val="0"/>
        <w:adjustRightInd w:val="0"/>
        <w:spacing w:line="420" w:lineRule="exact"/>
        <w:ind w:right="170"/>
        <w:jc w:val="left"/>
        <w:rPr>
          <w:rFonts w:ascii="宋体" w:hAnsi="宋体" w:cs="宋体"/>
          <w:sz w:val="24"/>
        </w:rPr>
      </w:pPr>
      <w:r>
        <w:rPr>
          <w:rFonts w:hint="eastAsia" w:ascii="宋体" w:hAnsi="宋体" w:cs="宋体"/>
          <w:sz w:val="24"/>
        </w:rPr>
        <w:t>措施项目费投标人根据施工组织设计投标时自行报价，结算时不调整</w:t>
      </w:r>
      <w:r>
        <w:rPr>
          <w:rFonts w:hint="eastAsia" w:ascii="宋体" w:hAnsi="宋体" w:cs="宋体"/>
          <w:sz w:val="24"/>
          <w:lang w:eastAsia="zh-CN"/>
        </w:rPr>
        <w:t>。</w:t>
      </w:r>
    </w:p>
    <w:p>
      <w:pPr>
        <w:numPr>
          <w:ilvl w:val="0"/>
          <w:numId w:val="3"/>
        </w:numPr>
        <w:autoSpaceDE w:val="0"/>
        <w:autoSpaceDN w:val="0"/>
        <w:adjustRightInd w:val="0"/>
        <w:spacing w:line="420" w:lineRule="exact"/>
        <w:ind w:right="170"/>
        <w:jc w:val="left"/>
        <w:rPr>
          <w:rFonts w:ascii="宋体" w:hAnsi="宋体" w:cs="宋体"/>
          <w:sz w:val="24"/>
        </w:rPr>
      </w:pPr>
      <w:r>
        <w:rPr>
          <w:rFonts w:hint="eastAsia" w:ascii="宋体" w:hAnsi="宋体" w:cs="宋体"/>
          <w:sz w:val="24"/>
        </w:rPr>
        <w:t>图纸中未明确的做法，标底内已按照常规做法计入，投标单位自行考虑报价。</w:t>
      </w:r>
    </w:p>
    <w:p>
      <w:pPr>
        <w:numPr>
          <w:ilvl w:val="0"/>
          <w:numId w:val="3"/>
        </w:numPr>
        <w:autoSpaceDE w:val="0"/>
        <w:autoSpaceDN w:val="0"/>
        <w:adjustRightInd w:val="0"/>
        <w:spacing w:line="420" w:lineRule="exact"/>
        <w:ind w:right="170"/>
        <w:jc w:val="left"/>
        <w:rPr>
          <w:rFonts w:ascii="宋体" w:hAnsi="宋体" w:cs="宋体"/>
          <w:sz w:val="24"/>
        </w:rPr>
      </w:pPr>
      <w:r>
        <w:rPr>
          <w:rFonts w:hint="eastAsia" w:ascii="宋体" w:hAnsi="宋体" w:cs="宋体"/>
          <w:sz w:val="24"/>
          <w:lang w:eastAsia="zh-CN"/>
        </w:rPr>
        <w:t>三层厨房间橱柜图纸未给出具体做法，按照常规做法报价计入，具体式样施工时经设计及甲方确认后方可施工，</w:t>
      </w:r>
      <w:r>
        <w:rPr>
          <w:rFonts w:hint="eastAsia" w:ascii="宋体" w:hAnsi="宋体" w:cs="宋体"/>
          <w:sz w:val="24"/>
        </w:rPr>
        <w:t>投标单位</w:t>
      </w:r>
      <w:r>
        <w:rPr>
          <w:rFonts w:hint="eastAsia" w:ascii="宋体" w:hAnsi="宋体" w:cs="宋体"/>
          <w:sz w:val="24"/>
          <w:lang w:eastAsia="zh-CN"/>
        </w:rPr>
        <w:t>结合自身情况综合考虑报价。</w:t>
      </w:r>
    </w:p>
    <w:p>
      <w:pPr>
        <w:numPr>
          <w:ilvl w:val="0"/>
          <w:numId w:val="3"/>
        </w:numPr>
        <w:autoSpaceDE w:val="0"/>
        <w:autoSpaceDN w:val="0"/>
        <w:adjustRightInd w:val="0"/>
        <w:spacing w:line="420" w:lineRule="exact"/>
        <w:ind w:right="170"/>
        <w:jc w:val="left"/>
        <w:rPr>
          <w:rFonts w:ascii="宋体" w:hAnsi="宋体" w:cs="宋体"/>
          <w:sz w:val="24"/>
        </w:rPr>
      </w:pPr>
      <w:r>
        <w:rPr>
          <w:rFonts w:hint="eastAsia" w:ascii="宋体" w:hAnsi="宋体" w:cs="宋体"/>
          <w:sz w:val="24"/>
          <w:lang w:eastAsia="zh-CN"/>
        </w:rPr>
        <w:t>二层及三层卫生间门考虑到拆除旧门后更换新门，具体尺寸根据图纸施工。</w:t>
      </w:r>
    </w:p>
    <w:p>
      <w:pPr>
        <w:numPr>
          <w:ilvl w:val="0"/>
          <w:numId w:val="3"/>
        </w:numPr>
        <w:autoSpaceDE w:val="0"/>
        <w:autoSpaceDN w:val="0"/>
        <w:adjustRightInd w:val="0"/>
        <w:spacing w:line="420" w:lineRule="exact"/>
        <w:ind w:right="170"/>
        <w:jc w:val="left"/>
        <w:rPr>
          <w:rFonts w:ascii="宋体" w:hAnsi="宋体" w:cs="宋体"/>
          <w:sz w:val="24"/>
        </w:rPr>
      </w:pPr>
      <w:r>
        <w:rPr>
          <w:rFonts w:hint="eastAsia" w:ascii="宋体" w:hAnsi="宋体" w:cs="宋体"/>
          <w:sz w:val="24"/>
          <w:lang w:eastAsia="zh-CN"/>
        </w:rPr>
        <w:t>室内墙面装饰广告画、宣传字不在此次招标范围内。</w:t>
      </w:r>
    </w:p>
    <w:p>
      <w:pPr>
        <w:numPr>
          <w:ilvl w:val="0"/>
          <w:numId w:val="3"/>
        </w:numPr>
        <w:autoSpaceDE w:val="0"/>
        <w:autoSpaceDN w:val="0"/>
        <w:adjustRightInd w:val="0"/>
        <w:spacing w:line="420" w:lineRule="exact"/>
        <w:ind w:right="170"/>
        <w:jc w:val="left"/>
        <w:rPr>
          <w:rFonts w:ascii="宋体" w:hAnsi="宋体" w:cs="宋体"/>
          <w:sz w:val="24"/>
        </w:rPr>
      </w:pPr>
      <w:r>
        <w:rPr>
          <w:rFonts w:hint="eastAsia" w:ascii="宋体" w:hAnsi="宋体" w:cs="宋体"/>
          <w:sz w:val="24"/>
        </w:rPr>
        <w:t>本工程工程量清单是根据设计图及现场勘察计算。</w:t>
      </w:r>
    </w:p>
    <w:p>
      <w:pPr>
        <w:numPr>
          <w:ilvl w:val="0"/>
          <w:numId w:val="0"/>
        </w:numPr>
        <w:autoSpaceDE w:val="0"/>
        <w:autoSpaceDN w:val="0"/>
        <w:adjustRightInd w:val="0"/>
        <w:spacing w:line="420" w:lineRule="exact"/>
        <w:ind w:left="903" w:leftChars="0" w:right="170" w:rightChars="0"/>
        <w:jc w:val="left"/>
        <w:rPr>
          <w:rFonts w:ascii="宋体" w:hAnsi="宋体" w:cs="宋体"/>
          <w:sz w:val="24"/>
        </w:rPr>
      </w:pPr>
    </w:p>
    <w:p>
      <w:pPr>
        <w:numPr>
          <w:ilvl w:val="0"/>
          <w:numId w:val="3"/>
        </w:numPr>
        <w:autoSpaceDE w:val="0"/>
        <w:autoSpaceDN w:val="0"/>
        <w:adjustRightInd w:val="0"/>
        <w:spacing w:line="420" w:lineRule="exact"/>
        <w:ind w:right="170"/>
        <w:jc w:val="left"/>
        <w:rPr>
          <w:rFonts w:hint="eastAsia" w:ascii="宋体" w:hAnsi="宋体" w:cs="宋体"/>
          <w:sz w:val="24"/>
        </w:rPr>
      </w:pPr>
      <w:r>
        <w:rPr>
          <w:rFonts w:hint="eastAsia" w:ascii="宋体" w:hAnsi="宋体" w:cs="宋体"/>
          <w:sz w:val="24"/>
        </w:rPr>
        <w:t>本工程相关建筑工地扬尘污染费已计入标底，投标单位投标时应考虑有关扬尘污染防治达到相关文件要求所产生的一切费用，结算时不调整。</w:t>
      </w:r>
    </w:p>
    <w:p>
      <w:pPr>
        <w:snapToGrid w:val="0"/>
        <w:spacing w:line="440" w:lineRule="atLeast"/>
        <w:ind w:firstLine="720" w:firstLineChars="300"/>
        <w:rPr>
          <w:rFonts w:ascii="宋体" w:hAnsi="宋体" w:cs="宋体"/>
          <w:bCs/>
          <w:sz w:val="24"/>
        </w:rPr>
      </w:pPr>
      <w:r>
        <w:rPr>
          <w:rFonts w:hint="eastAsia" w:ascii="宋体" w:hAnsi="宋体" w:cs="宋体"/>
          <w:bCs/>
          <w:sz w:val="24"/>
        </w:rPr>
        <w:t>②安装工程：</w:t>
      </w:r>
    </w:p>
    <w:p>
      <w:pPr>
        <w:numPr>
          <w:ilvl w:val="0"/>
          <w:numId w:val="4"/>
        </w:numPr>
        <w:autoSpaceDE w:val="0"/>
        <w:autoSpaceDN w:val="0"/>
        <w:adjustRightInd w:val="0"/>
        <w:spacing w:line="420" w:lineRule="exact"/>
        <w:ind w:right="170"/>
        <w:jc w:val="left"/>
        <w:rPr>
          <w:rFonts w:hint="eastAsia" w:ascii="宋体" w:hAnsi="宋体" w:cs="宋体"/>
          <w:sz w:val="24"/>
        </w:rPr>
      </w:pPr>
      <w:r>
        <w:rPr>
          <w:rFonts w:hint="eastAsia" w:ascii="宋体" w:hAnsi="宋体" w:cs="宋体"/>
          <w:sz w:val="24"/>
        </w:rPr>
        <w:t>配电箱入户电缆以及其配管平面图未设计，不在本次计算范围内；</w:t>
      </w:r>
    </w:p>
    <w:p>
      <w:pPr>
        <w:numPr>
          <w:ilvl w:val="0"/>
          <w:numId w:val="4"/>
        </w:numPr>
        <w:autoSpaceDE w:val="0"/>
        <w:autoSpaceDN w:val="0"/>
        <w:adjustRightInd w:val="0"/>
        <w:spacing w:line="420" w:lineRule="exact"/>
        <w:ind w:right="170"/>
        <w:jc w:val="left"/>
        <w:rPr>
          <w:rFonts w:hint="eastAsia" w:ascii="宋体" w:hAnsi="宋体" w:cs="宋体"/>
          <w:sz w:val="24"/>
        </w:rPr>
      </w:pPr>
      <w:r>
        <w:rPr>
          <w:rFonts w:hint="eastAsia" w:ascii="宋体" w:hAnsi="宋体" w:cs="宋体"/>
          <w:sz w:val="24"/>
        </w:rPr>
        <w:t>筒灯尺寸暂按卫生间为3寸筒灯，其余位置为4寸筒灯计算；</w:t>
      </w:r>
    </w:p>
    <w:tbl>
      <w:tblPr>
        <w:tblStyle w:val="9"/>
        <w:tblpPr w:leftFromText="180" w:rightFromText="180" w:vertAnchor="text" w:horzAnchor="page" w:tblpX="1172" w:tblpY="820"/>
        <w:tblOverlap w:val="never"/>
        <w:tblW w:w="971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7"/>
        <w:gridCol w:w="1839"/>
        <w:gridCol w:w="2678"/>
        <w:gridCol w:w="1450"/>
        <w:gridCol w:w="1533"/>
        <w:gridCol w:w="15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序号</w:t>
            </w:r>
          </w:p>
        </w:tc>
        <w:tc>
          <w:tcPr>
            <w:tcW w:w="1839"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材料名称  </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规格、型号</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品牌1</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品牌2</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品牌3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地砖</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800*800、600*600</w:t>
            </w:r>
          </w:p>
        </w:tc>
        <w:tc>
          <w:tcPr>
            <w:tcW w:w="1450" w:type="dxa"/>
            <w:tcBorders>
              <w:right w:val="single" w:color="auto" w:sz="4" w:space="0"/>
            </w:tcBorders>
            <w:vAlign w:val="center"/>
          </w:tcPr>
          <w:p>
            <w:pPr>
              <w:spacing w:after="0" w:line="220" w:lineRule="atLeast"/>
              <w:jc w:val="both"/>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  </w:t>
            </w:r>
            <w:r>
              <w:rPr>
                <w:rFonts w:hint="eastAsia" w:asciiTheme="minorEastAsia" w:hAnsiTheme="minorEastAsia" w:eastAsiaTheme="minorEastAsia" w:cstheme="minorEastAsia"/>
                <w:bCs/>
                <w:sz w:val="21"/>
                <w:szCs w:val="21"/>
              </w:rPr>
              <w:t>蒙地卡罗</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马可波罗</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惠达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墙砖</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300*600</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蒙地卡罗</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马可波罗</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惠达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4</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复合地板</w:t>
            </w:r>
          </w:p>
        </w:tc>
        <w:tc>
          <w:tcPr>
            <w:tcW w:w="2678" w:type="dxa"/>
            <w:vAlign w:val="center"/>
          </w:tcPr>
          <w:p>
            <w:pPr>
              <w:spacing w:after="0" w:line="220" w:lineRule="atLeast"/>
              <w:jc w:val="center"/>
              <w:rPr>
                <w:rFonts w:asciiTheme="minorEastAsia" w:hAnsiTheme="minorEastAsia" w:eastAsiaTheme="minorEastAsia"/>
                <w:sz w:val="21"/>
                <w:szCs w:val="21"/>
              </w:rPr>
            </w:pP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大自然</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晟象</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绿地缘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8</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金属吊顶</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铝板、穿孔铝板、铝方通</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华斯顿</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洛斐尔</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美尔吉尔</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9</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集成吊顶</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600*600 </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力亚龙</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万科龙</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友邦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硅酸钙板</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600*600</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台荣</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龙牌</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阿姆斯壮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11</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石膏板</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9.5mm</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龙牌</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博罗</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可耐福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12</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轻钢龙骨</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U50、75、100</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龙牌</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博罗</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可耐福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13</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细木工板、九夹板、多层板</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1.2mm、1.8mm</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福牌</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欢乐熊</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千年舟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14</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乳胶漆</w:t>
            </w:r>
          </w:p>
        </w:tc>
        <w:tc>
          <w:tcPr>
            <w:tcW w:w="2678" w:type="dxa"/>
            <w:vAlign w:val="center"/>
          </w:tcPr>
          <w:p>
            <w:pPr>
              <w:spacing w:after="0" w:line="220" w:lineRule="atLeast"/>
              <w:jc w:val="center"/>
              <w:rPr>
                <w:rFonts w:asciiTheme="minorEastAsia" w:hAnsiTheme="minorEastAsia" w:eastAsiaTheme="minorEastAsia"/>
                <w:sz w:val="21"/>
                <w:szCs w:val="21"/>
              </w:rPr>
            </w:pP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立邦</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多乐士</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三棵树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15</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墙纸</w:t>
            </w:r>
          </w:p>
        </w:tc>
        <w:tc>
          <w:tcPr>
            <w:tcW w:w="2678" w:type="dxa"/>
            <w:vAlign w:val="center"/>
          </w:tcPr>
          <w:p>
            <w:pPr>
              <w:spacing w:after="0" w:line="220" w:lineRule="atLeast"/>
              <w:jc w:val="center"/>
              <w:rPr>
                <w:rFonts w:asciiTheme="minorEastAsia" w:hAnsiTheme="minorEastAsia" w:eastAsiaTheme="minorEastAsia"/>
                <w:sz w:val="21"/>
                <w:szCs w:val="21"/>
              </w:rPr>
            </w:pP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龙冉</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宏秀</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郁金香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16</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成品套装门</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单开、双开</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圣象木业</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华强整木</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卓建木业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17</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电线电缆</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2.5m2、4m2、其他规格</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远东</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江南</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华美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18</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PPR给水管</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φ20、25、32、其他规格</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公元</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中财</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日丰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19</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PVC排水管</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Φ50、75、110、其他规格</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公元</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中财</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日丰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20</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洁具</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坐便器、小便器、洗脸盆</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TOTO</w:t>
            </w:r>
          </w:p>
        </w:tc>
        <w:tc>
          <w:tcPr>
            <w:tcW w:w="1533" w:type="dxa"/>
            <w:tcBorders>
              <w:left w:val="single" w:color="auto" w:sz="4" w:space="0"/>
              <w:right w:val="single" w:color="auto" w:sz="4" w:space="0"/>
            </w:tcBorders>
            <w:vAlign w:val="center"/>
          </w:tcPr>
          <w:p>
            <w:pPr>
              <w:spacing w:after="0" w:line="220" w:lineRule="atLeast"/>
              <w:jc w:val="center"/>
              <w:rPr>
                <w:rFonts w:hint="eastAsia" w:asciiTheme="minorEastAsia" w:hAnsiTheme="minorEastAsia" w:eastAsiaTheme="minorEastAsia"/>
                <w:sz w:val="21"/>
                <w:szCs w:val="21"/>
                <w:lang w:eastAsia="zh-CN"/>
              </w:rPr>
            </w:pPr>
            <w:r>
              <w:rPr>
                <w:rFonts w:hint="eastAsia" w:asciiTheme="minorEastAsia" w:hAnsiTheme="minorEastAsia" w:eastAsiaTheme="minorEastAsia" w:cstheme="minorEastAsia"/>
                <w:bCs/>
                <w:sz w:val="21"/>
                <w:szCs w:val="21"/>
                <w:lang w:val="en-US" w:eastAsia="zh-CN"/>
              </w:rPr>
              <w:t>科勒</w:t>
            </w:r>
          </w:p>
        </w:tc>
        <w:tc>
          <w:tcPr>
            <w:tcW w:w="1549" w:type="dxa"/>
            <w:tcBorders>
              <w:left w:val="single" w:color="auto" w:sz="4" w:space="0"/>
            </w:tcBorders>
            <w:vAlign w:val="center"/>
          </w:tcPr>
          <w:p>
            <w:pPr>
              <w:spacing w:after="0" w:line="220" w:lineRule="atLeast"/>
              <w:jc w:val="center"/>
              <w:rPr>
                <w:rFonts w:hint="default" w:asciiTheme="minorEastAsia" w:hAnsiTheme="minorEastAsia" w:eastAsiaTheme="minorEastAsia"/>
                <w:sz w:val="21"/>
                <w:szCs w:val="21"/>
                <w:lang w:val="en-US" w:eastAsia="zh-CN"/>
              </w:rPr>
            </w:pPr>
            <w:r>
              <w:rPr>
                <w:rFonts w:hint="eastAsia" w:asciiTheme="minorEastAsia" w:hAnsiTheme="minorEastAsia" w:eastAsiaTheme="minorEastAsia" w:cstheme="minorEastAsia"/>
                <w:bCs/>
                <w:sz w:val="21"/>
                <w:szCs w:val="21"/>
                <w:lang w:val="en-US" w:eastAsia="zh-CN"/>
              </w:rPr>
              <w:t>和成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21</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灯具</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筒灯、射灯、LED灯带</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欧普</w:t>
            </w:r>
          </w:p>
        </w:tc>
        <w:tc>
          <w:tcPr>
            <w:tcW w:w="1533" w:type="dxa"/>
            <w:tcBorders>
              <w:left w:val="single" w:color="auto" w:sz="4" w:space="0"/>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西顿</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雷士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22</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电箱、元器件</w:t>
            </w:r>
          </w:p>
        </w:tc>
        <w:tc>
          <w:tcPr>
            <w:tcW w:w="2678" w:type="dxa"/>
            <w:vAlign w:val="center"/>
          </w:tcPr>
          <w:p>
            <w:pPr>
              <w:spacing w:after="0" w:line="220" w:lineRule="atLeast"/>
              <w:jc w:val="center"/>
              <w:rPr>
                <w:rFonts w:asciiTheme="minorEastAsia" w:hAnsiTheme="minorEastAsia" w:eastAsiaTheme="minorEastAsia"/>
                <w:sz w:val="21"/>
                <w:szCs w:val="21"/>
              </w:rPr>
            </w:pP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德力西</w:t>
            </w:r>
          </w:p>
        </w:tc>
        <w:tc>
          <w:tcPr>
            <w:tcW w:w="1533" w:type="dxa"/>
            <w:tcBorders>
              <w:left w:val="single" w:color="auto" w:sz="4" w:space="0"/>
              <w:right w:val="single" w:color="auto" w:sz="4" w:space="0"/>
            </w:tcBorders>
            <w:vAlign w:val="center"/>
          </w:tcPr>
          <w:p>
            <w:pPr>
              <w:spacing w:after="0" w:line="220" w:lineRule="atLeast"/>
              <w:ind w:firstLine="420" w:firstLineChars="200"/>
              <w:jc w:val="both"/>
              <w:rPr>
                <w:rFonts w:asciiTheme="minorEastAsia" w:hAnsiTheme="minorEastAsia" w:eastAsiaTheme="minorEastAsia"/>
                <w:sz w:val="21"/>
                <w:szCs w:val="21"/>
              </w:rPr>
            </w:pPr>
            <w:r>
              <w:rPr>
                <w:rFonts w:hint="eastAsia" w:asciiTheme="minorEastAsia" w:hAnsiTheme="minorEastAsia" w:eastAsiaTheme="minorEastAsia"/>
                <w:sz w:val="21"/>
                <w:szCs w:val="21"/>
              </w:rPr>
              <w:t>正泰</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人民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23</w:t>
            </w:r>
          </w:p>
        </w:tc>
        <w:tc>
          <w:tcPr>
            <w:tcW w:w="1839" w:type="dxa"/>
            <w:vAlign w:val="center"/>
          </w:tcPr>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开关插座</w:t>
            </w:r>
          </w:p>
        </w:tc>
        <w:tc>
          <w:tcPr>
            <w:tcW w:w="2678" w:type="dxa"/>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五孔插座、空调插座、地插</w:t>
            </w:r>
          </w:p>
        </w:tc>
        <w:tc>
          <w:tcPr>
            <w:tcW w:w="1450" w:type="dxa"/>
            <w:tcBorders>
              <w:righ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cstheme="minorEastAsia"/>
                <w:bCs/>
                <w:sz w:val="21"/>
                <w:szCs w:val="21"/>
              </w:rPr>
              <w:t>TCL</w:t>
            </w:r>
          </w:p>
        </w:tc>
        <w:tc>
          <w:tcPr>
            <w:tcW w:w="1533" w:type="dxa"/>
            <w:tcBorders>
              <w:left w:val="single" w:color="auto" w:sz="4" w:space="0"/>
              <w:right w:val="single" w:color="auto" w:sz="4" w:space="0"/>
            </w:tcBorders>
            <w:vAlign w:val="center"/>
          </w:tcPr>
          <w:p>
            <w:pPr>
              <w:spacing w:after="0" w:line="220" w:lineRule="atLeast"/>
              <w:ind w:firstLine="420" w:firstLineChars="200"/>
              <w:jc w:val="both"/>
              <w:rPr>
                <w:rFonts w:asciiTheme="minorEastAsia" w:hAnsiTheme="minorEastAsia" w:eastAsiaTheme="minorEastAsia"/>
                <w:sz w:val="21"/>
                <w:szCs w:val="21"/>
              </w:rPr>
            </w:pPr>
            <w:r>
              <w:rPr>
                <w:rFonts w:hint="eastAsia" w:asciiTheme="minorEastAsia" w:hAnsiTheme="minorEastAsia" w:eastAsiaTheme="minorEastAsia"/>
                <w:sz w:val="21"/>
                <w:szCs w:val="21"/>
              </w:rPr>
              <w:t>正泰</w:t>
            </w:r>
          </w:p>
        </w:tc>
        <w:tc>
          <w:tcPr>
            <w:tcW w:w="1549" w:type="dxa"/>
            <w:tcBorders>
              <w:left w:val="single" w:color="auto" w:sz="4" w:space="0"/>
            </w:tcBorders>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鸿燕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hint="default" w:asciiTheme="minorEastAsia" w:hAnsiTheme="minorEastAsia" w:eastAsiaTheme="minorEastAsia"/>
                <w:color w:val="auto"/>
                <w:sz w:val="21"/>
                <w:szCs w:val="21"/>
                <w:highlight w:val="none"/>
                <w:lang w:val="en-US" w:eastAsia="zh-CN"/>
              </w:rPr>
            </w:pPr>
            <w:r>
              <w:rPr>
                <w:rFonts w:hint="eastAsia" w:asciiTheme="minorEastAsia" w:hAnsiTheme="minorEastAsia" w:eastAsiaTheme="minorEastAsia"/>
                <w:color w:val="auto"/>
                <w:sz w:val="21"/>
                <w:szCs w:val="21"/>
                <w:highlight w:val="none"/>
                <w:lang w:val="en-US" w:eastAsia="zh-CN"/>
              </w:rPr>
              <w:t>24</w:t>
            </w:r>
          </w:p>
        </w:tc>
        <w:tc>
          <w:tcPr>
            <w:tcW w:w="1839" w:type="dxa"/>
            <w:vAlign w:val="center"/>
          </w:tcPr>
          <w:p>
            <w:pPr>
              <w:spacing w:after="0" w:line="220" w:lineRule="atLeast"/>
              <w:rPr>
                <w:rFonts w:hint="default" w:asciiTheme="minorEastAsia" w:hAnsiTheme="minorEastAsia" w:eastAsiaTheme="minorEastAsia"/>
                <w:color w:val="auto"/>
                <w:sz w:val="21"/>
                <w:szCs w:val="21"/>
                <w:highlight w:val="none"/>
                <w:lang w:val="en-US" w:eastAsia="zh-CN"/>
              </w:rPr>
            </w:pPr>
            <w:r>
              <w:rPr>
                <w:rFonts w:hint="eastAsia" w:asciiTheme="minorEastAsia" w:hAnsiTheme="minorEastAsia" w:eastAsiaTheme="minorEastAsia"/>
                <w:color w:val="auto"/>
                <w:sz w:val="21"/>
                <w:szCs w:val="21"/>
                <w:highlight w:val="none"/>
                <w:lang w:val="en-US" w:eastAsia="zh-CN"/>
              </w:rPr>
              <w:t>厨房集成吊顶</w:t>
            </w:r>
          </w:p>
        </w:tc>
        <w:tc>
          <w:tcPr>
            <w:tcW w:w="2678" w:type="dxa"/>
            <w:vAlign w:val="center"/>
          </w:tcPr>
          <w:p>
            <w:pPr>
              <w:spacing w:after="0" w:line="220" w:lineRule="atLeast"/>
              <w:jc w:val="center"/>
              <w:rPr>
                <w:rFonts w:hint="eastAsia" w:asciiTheme="minorEastAsia" w:hAnsiTheme="minorEastAsia" w:eastAsiaTheme="minorEastAsia"/>
                <w:color w:val="auto"/>
                <w:sz w:val="21"/>
                <w:szCs w:val="21"/>
                <w:highlight w:val="none"/>
              </w:rPr>
            </w:pPr>
          </w:p>
        </w:tc>
        <w:tc>
          <w:tcPr>
            <w:tcW w:w="1450" w:type="dxa"/>
            <w:tcBorders>
              <w:right w:val="single" w:color="auto" w:sz="4" w:space="0"/>
            </w:tcBorders>
            <w:vAlign w:val="center"/>
          </w:tcPr>
          <w:p>
            <w:pPr>
              <w:spacing w:after="0" w:line="220" w:lineRule="atLeast"/>
              <w:jc w:val="center"/>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友邦</w:t>
            </w:r>
          </w:p>
        </w:tc>
        <w:tc>
          <w:tcPr>
            <w:tcW w:w="1533" w:type="dxa"/>
            <w:tcBorders>
              <w:left w:val="single" w:color="auto" w:sz="4" w:space="0"/>
              <w:right w:val="single" w:color="auto" w:sz="4" w:space="0"/>
            </w:tcBorders>
            <w:vAlign w:val="center"/>
          </w:tcPr>
          <w:p>
            <w:pPr>
              <w:spacing w:after="0" w:line="220" w:lineRule="atLeast"/>
              <w:ind w:firstLine="420" w:firstLineChars="200"/>
              <w:jc w:val="both"/>
              <w:rPr>
                <w:rFonts w:hint="eastAsia"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欧普</w:t>
            </w:r>
          </w:p>
        </w:tc>
        <w:tc>
          <w:tcPr>
            <w:tcW w:w="1549" w:type="dxa"/>
            <w:tcBorders>
              <w:left w:val="single" w:color="auto" w:sz="4" w:space="0"/>
            </w:tcBorders>
            <w:vAlign w:val="center"/>
          </w:tcPr>
          <w:p>
            <w:pPr>
              <w:spacing w:after="0" w:line="220" w:lineRule="atLeast"/>
              <w:jc w:val="center"/>
              <w:rPr>
                <w:rFonts w:hint="eastAsia"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法龙狮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667" w:type="dxa"/>
            <w:vAlign w:val="center"/>
          </w:tcPr>
          <w:p>
            <w:pPr>
              <w:spacing w:after="0" w:line="220" w:lineRule="atLeast"/>
              <w:jc w:val="center"/>
              <w:rPr>
                <w:rFonts w:hint="default" w:asciiTheme="minorEastAsia" w:hAnsiTheme="minorEastAsia" w:eastAsiaTheme="minorEastAsia"/>
                <w:color w:val="auto"/>
                <w:sz w:val="21"/>
                <w:szCs w:val="21"/>
                <w:highlight w:val="none"/>
                <w:lang w:val="en-US" w:eastAsia="zh-CN"/>
              </w:rPr>
            </w:pPr>
            <w:r>
              <w:rPr>
                <w:rFonts w:hint="eastAsia" w:asciiTheme="minorEastAsia" w:hAnsiTheme="minorEastAsia" w:eastAsiaTheme="minorEastAsia"/>
                <w:color w:val="auto"/>
                <w:sz w:val="21"/>
                <w:szCs w:val="21"/>
                <w:highlight w:val="none"/>
                <w:lang w:val="en-US" w:eastAsia="zh-CN"/>
              </w:rPr>
              <w:t>25</w:t>
            </w:r>
          </w:p>
        </w:tc>
        <w:tc>
          <w:tcPr>
            <w:tcW w:w="1839" w:type="dxa"/>
            <w:vAlign w:val="center"/>
          </w:tcPr>
          <w:p>
            <w:pPr>
              <w:spacing w:after="0" w:line="220" w:lineRule="atLeast"/>
              <w:rPr>
                <w:rFonts w:hint="default" w:asciiTheme="minorEastAsia" w:hAnsiTheme="minorEastAsia" w:eastAsiaTheme="minorEastAsia"/>
                <w:color w:val="auto"/>
                <w:sz w:val="21"/>
                <w:szCs w:val="21"/>
                <w:highlight w:val="none"/>
                <w:lang w:val="en-US" w:eastAsia="zh-CN"/>
              </w:rPr>
            </w:pPr>
            <w:r>
              <w:rPr>
                <w:rFonts w:hint="eastAsia" w:asciiTheme="minorEastAsia" w:hAnsiTheme="minorEastAsia" w:eastAsiaTheme="minorEastAsia"/>
                <w:color w:val="auto"/>
                <w:sz w:val="21"/>
                <w:szCs w:val="21"/>
                <w:highlight w:val="none"/>
                <w:lang w:val="en-US" w:eastAsia="zh-CN"/>
              </w:rPr>
              <w:t>腻子</w:t>
            </w:r>
          </w:p>
        </w:tc>
        <w:tc>
          <w:tcPr>
            <w:tcW w:w="2678" w:type="dxa"/>
            <w:vAlign w:val="center"/>
          </w:tcPr>
          <w:p>
            <w:pPr>
              <w:spacing w:after="0" w:line="220" w:lineRule="atLeast"/>
              <w:jc w:val="center"/>
              <w:rPr>
                <w:rFonts w:hint="eastAsia" w:asciiTheme="minorEastAsia" w:hAnsiTheme="minorEastAsia" w:eastAsiaTheme="minorEastAsia"/>
                <w:color w:val="auto"/>
                <w:sz w:val="21"/>
                <w:szCs w:val="21"/>
                <w:highlight w:val="none"/>
              </w:rPr>
            </w:pPr>
          </w:p>
        </w:tc>
        <w:tc>
          <w:tcPr>
            <w:tcW w:w="1450" w:type="dxa"/>
            <w:tcBorders>
              <w:right w:val="single" w:color="auto" w:sz="4" w:space="0"/>
            </w:tcBorders>
            <w:vAlign w:val="center"/>
          </w:tcPr>
          <w:p>
            <w:pPr>
              <w:spacing w:after="0" w:line="220" w:lineRule="atLeast"/>
              <w:jc w:val="center"/>
              <w:rPr>
                <w:rFonts w:hint="eastAsia" w:asciiTheme="minorEastAsia" w:hAnsiTheme="minorEastAsia" w:eastAsiaTheme="minorEastAsia" w:cstheme="minorEastAsia"/>
                <w:bCs/>
                <w:color w:val="auto"/>
                <w:sz w:val="21"/>
                <w:szCs w:val="21"/>
                <w:highlight w:val="none"/>
                <w:lang w:val="en-US" w:eastAsia="zh-CN"/>
              </w:rPr>
            </w:pPr>
            <w:r>
              <w:rPr>
                <w:rFonts w:hint="eastAsia" w:asciiTheme="majorEastAsia" w:hAnsiTheme="majorEastAsia" w:eastAsiaTheme="majorEastAsia"/>
                <w:color w:val="auto"/>
                <w:sz w:val="24"/>
                <w:szCs w:val="24"/>
                <w:highlight w:val="none"/>
              </w:rPr>
              <w:t>圣戈班</w:t>
            </w:r>
          </w:p>
        </w:tc>
        <w:tc>
          <w:tcPr>
            <w:tcW w:w="1533" w:type="dxa"/>
            <w:tcBorders>
              <w:left w:val="single" w:color="auto" w:sz="4" w:space="0"/>
              <w:right w:val="single" w:color="auto" w:sz="4" w:space="0"/>
            </w:tcBorders>
            <w:vAlign w:val="center"/>
          </w:tcPr>
          <w:p>
            <w:pPr>
              <w:spacing w:after="0" w:line="220" w:lineRule="atLeast"/>
              <w:ind w:firstLine="420" w:firstLineChars="200"/>
              <w:jc w:val="both"/>
              <w:rPr>
                <w:rFonts w:hint="eastAsia"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立邦</w:t>
            </w:r>
          </w:p>
        </w:tc>
        <w:tc>
          <w:tcPr>
            <w:tcW w:w="1549" w:type="dxa"/>
            <w:tcBorders>
              <w:left w:val="single" w:color="auto" w:sz="4" w:space="0"/>
            </w:tcBorders>
            <w:vAlign w:val="center"/>
          </w:tcPr>
          <w:p>
            <w:pPr>
              <w:spacing w:after="0" w:line="220" w:lineRule="atLeast"/>
              <w:jc w:val="center"/>
              <w:rPr>
                <w:rFonts w:hint="eastAsia"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美巢</w:t>
            </w:r>
          </w:p>
        </w:tc>
      </w:tr>
    </w:tbl>
    <w:p>
      <w:pPr>
        <w:numPr>
          <w:ilvl w:val="0"/>
          <w:numId w:val="1"/>
        </w:numPr>
        <w:snapToGrid w:val="0"/>
        <w:spacing w:line="440" w:lineRule="atLeast"/>
        <w:ind w:left="425" w:leftChars="0" w:hanging="425" w:firstLineChars="0"/>
        <w:rPr>
          <w:rFonts w:hint="default" w:ascii="宋体" w:hAnsi="宋体" w:eastAsia="宋体" w:cs="宋体"/>
          <w:bCs/>
          <w:sz w:val="24"/>
          <w:lang w:val="en-US" w:eastAsia="zh-CN"/>
        </w:rPr>
      </w:pPr>
      <w:r>
        <w:rPr>
          <w:rFonts w:hint="eastAsia" w:ascii="宋体" w:hAnsi="宋体" w:cs="宋体"/>
          <w:b/>
          <w:bCs w:val="0"/>
          <w:sz w:val="24"/>
          <w:lang w:val="en-US" w:eastAsia="zh-CN"/>
        </w:rPr>
        <w:t>本工程其它材料招标人提供品牌如下，投标报价及施工时需按提供品牌之一执行：</w:t>
      </w:r>
    </w:p>
    <w:p>
      <w:pPr>
        <w:numPr>
          <w:ilvl w:val="0"/>
          <w:numId w:val="0"/>
        </w:numPr>
        <w:snapToGrid w:val="0"/>
        <w:spacing w:line="440" w:lineRule="atLeast"/>
        <w:ind w:leftChars="0"/>
        <w:rPr>
          <w:rFonts w:ascii="宋体" w:hAnsi="宋体" w:cs="宋体"/>
          <w:b/>
          <w:sz w:val="24"/>
          <w:lang w:val="zh-CN"/>
        </w:rPr>
      </w:pPr>
      <w:r>
        <w:rPr>
          <w:rFonts w:hint="eastAsia" w:ascii="宋体" w:hAnsi="宋体" w:cs="宋体"/>
          <w:b/>
          <w:sz w:val="24"/>
          <w:lang w:val="zh-CN"/>
        </w:rPr>
        <w:t>十</w:t>
      </w:r>
      <w:r>
        <w:rPr>
          <w:rFonts w:hint="eastAsia" w:ascii="宋体" w:hAnsi="宋体" w:cs="宋体"/>
          <w:b/>
          <w:sz w:val="24"/>
          <w:lang w:val="en-US" w:eastAsia="zh-CN"/>
        </w:rPr>
        <w:t>.</w:t>
      </w:r>
      <w:r>
        <w:rPr>
          <w:rFonts w:hint="eastAsia" w:ascii="宋体" w:hAnsi="宋体" w:cs="宋体"/>
          <w:b/>
          <w:sz w:val="24"/>
          <w:lang w:val="zh-CN"/>
        </w:rPr>
        <w:t>本工程各部位所用的材料如有与图纸标注不符，均以图纸为准，所有招标图纸资料中未表示出来而在本技术要求中提及的设备、材料和工作都应包括在承包合同中由中标人供应和完成。凡是没有明确说明但可以推断而又是整体系统安装和运行时不可缺少或必需的一切附属配件和工作也应包括在承包合同中由承包商供应和完成。</w:t>
      </w:r>
    </w:p>
    <w:p>
      <w:pPr>
        <w:numPr>
          <w:ilvl w:val="0"/>
          <w:numId w:val="0"/>
        </w:numPr>
        <w:snapToGrid w:val="0"/>
        <w:spacing w:line="440" w:lineRule="atLeast"/>
        <w:ind w:leftChars="0"/>
        <w:rPr>
          <w:rFonts w:ascii="宋体" w:hAnsi="宋体" w:cs="宋体"/>
          <w:b/>
          <w:sz w:val="24"/>
          <w:lang w:val="zh-CN"/>
        </w:rPr>
      </w:pPr>
      <w:r>
        <w:rPr>
          <w:rFonts w:hint="eastAsia" w:ascii="宋体" w:hAnsi="宋体" w:cs="宋体"/>
          <w:b/>
          <w:sz w:val="24"/>
          <w:lang w:val="zh-CN"/>
        </w:rPr>
        <w:t>十一</w:t>
      </w:r>
      <w:r>
        <w:rPr>
          <w:rFonts w:hint="eastAsia" w:ascii="宋体" w:hAnsi="宋体" w:cs="宋体"/>
          <w:b/>
          <w:sz w:val="24"/>
          <w:lang w:val="en-US" w:eastAsia="zh-CN"/>
        </w:rPr>
        <w:t>.</w:t>
      </w:r>
      <w:r>
        <w:rPr>
          <w:rFonts w:hint="eastAsia" w:ascii="宋体" w:hAnsi="宋体" w:cs="宋体"/>
          <w:b/>
          <w:sz w:val="24"/>
          <w:lang w:val="zh-CN"/>
        </w:rPr>
        <w:t>本工程量清单中如有项目特征描述不全,一律按照施工图纸及相关规范要求等考虑。</w:t>
      </w:r>
    </w:p>
    <w:p>
      <w:pPr>
        <w:numPr>
          <w:ilvl w:val="0"/>
          <w:numId w:val="0"/>
        </w:numPr>
        <w:snapToGrid w:val="0"/>
        <w:spacing w:line="440" w:lineRule="atLeast"/>
        <w:ind w:leftChars="0"/>
        <w:rPr>
          <w:rFonts w:ascii="宋体" w:hAnsi="宋体" w:cs="宋体"/>
          <w:b/>
          <w:sz w:val="24"/>
          <w:lang w:val="zh-CN"/>
        </w:rPr>
      </w:pPr>
      <w:r>
        <w:rPr>
          <w:rFonts w:hint="eastAsia" w:ascii="宋体" w:hAnsi="宋体" w:cs="宋体"/>
          <w:b/>
          <w:sz w:val="24"/>
          <w:lang w:val="zh-CN"/>
        </w:rPr>
        <w:t>十二</w:t>
      </w:r>
      <w:r>
        <w:rPr>
          <w:rFonts w:hint="eastAsia" w:ascii="宋体" w:hAnsi="宋体" w:cs="宋体"/>
          <w:b/>
          <w:sz w:val="24"/>
          <w:lang w:val="en-US" w:eastAsia="zh-CN"/>
        </w:rPr>
        <w:t>.</w:t>
      </w:r>
      <w:r>
        <w:rPr>
          <w:rFonts w:hint="eastAsia" w:ascii="宋体" w:hAnsi="宋体" w:cs="宋体"/>
          <w:b/>
          <w:sz w:val="24"/>
          <w:lang w:val="zh-CN"/>
        </w:rPr>
        <w:t>暂估价明细表（投标单位报价时不得变动让利）：</w:t>
      </w:r>
    </w:p>
    <w:p>
      <w:pPr>
        <w:snapToGrid w:val="0"/>
        <w:spacing w:line="440" w:lineRule="atLeast"/>
        <w:ind w:firstLine="211" w:firstLineChars="100"/>
        <w:rPr>
          <w:rFonts w:ascii="宋体" w:hAnsi="宋体" w:cs="宋体"/>
          <w:b/>
          <w:sz w:val="24"/>
          <w:lang w:val="zh-CN"/>
        </w:rPr>
      </w:pPr>
      <w:r>
        <w:rPr>
          <w:rFonts w:hint="eastAsia" w:ascii="宋体" w:hAnsi="宋体" w:cs="宋体"/>
          <w:b/>
          <w:szCs w:val="21"/>
        </w:rPr>
        <w:t>1、暂列金额明细表：</w:t>
      </w:r>
    </w:p>
    <w:tbl>
      <w:tblPr>
        <w:tblStyle w:val="8"/>
        <w:tblW w:w="9300" w:type="dxa"/>
        <w:tblInd w:w="381" w:type="dxa"/>
        <w:tblLayout w:type="fixed"/>
        <w:tblCellMar>
          <w:top w:w="0" w:type="dxa"/>
          <w:left w:w="108" w:type="dxa"/>
          <w:bottom w:w="0" w:type="dxa"/>
          <w:right w:w="108" w:type="dxa"/>
        </w:tblCellMar>
      </w:tblPr>
      <w:tblGrid>
        <w:gridCol w:w="795"/>
        <w:gridCol w:w="3988"/>
        <w:gridCol w:w="1235"/>
        <w:gridCol w:w="1913"/>
        <w:gridCol w:w="1369"/>
      </w:tblGrid>
      <w:tr>
        <w:tblPrEx>
          <w:tblLayout w:type="fixed"/>
        </w:tblPrEx>
        <w:trPr>
          <w:trHeight w:val="417" w:hRule="atLeast"/>
        </w:trPr>
        <w:tc>
          <w:tcPr>
            <w:tcW w:w="9300" w:type="dxa"/>
            <w:gridSpan w:val="5"/>
            <w:tcBorders>
              <w:top w:val="single" w:color="auto" w:sz="6" w:space="0"/>
              <w:left w:val="single" w:color="auto" w:sz="6" w:space="0"/>
              <w:bottom w:val="single" w:color="auto" w:sz="6" w:space="0"/>
              <w:right w:val="single" w:color="auto" w:sz="6" w:space="0"/>
            </w:tcBorders>
          </w:tcPr>
          <w:p>
            <w:pPr>
              <w:autoSpaceDE w:val="0"/>
              <w:autoSpaceDN w:val="0"/>
              <w:jc w:val="left"/>
              <w:rPr>
                <w:rFonts w:hint="eastAsia" w:ascii="宋体" w:hAnsi="宋体" w:eastAsia="宋体"/>
                <w:sz w:val="24"/>
                <w:lang w:eastAsia="zh-CN"/>
              </w:rPr>
            </w:pPr>
            <w:r>
              <w:rPr>
                <w:rFonts w:hint="eastAsia" w:ascii="宋体" w:hAnsi="宋体" w:cs="宋体"/>
                <w:lang w:val="zh-CN"/>
              </w:rPr>
              <w:t>工程名称：</w:t>
            </w:r>
            <w:r>
              <w:rPr>
                <w:rFonts w:hint="eastAsia" w:ascii="宋体" w:hAnsi="宋体" w:cs="宋体"/>
                <w:bCs/>
                <w:sz w:val="24"/>
                <w:lang w:eastAsia="zh-CN"/>
              </w:rPr>
              <w:t>创新村党群服务中心装修工程</w:t>
            </w:r>
          </w:p>
        </w:tc>
      </w:tr>
      <w:tr>
        <w:tblPrEx>
          <w:tblLayout w:type="fixed"/>
          <w:tblCellMar>
            <w:top w:w="0" w:type="dxa"/>
            <w:left w:w="108" w:type="dxa"/>
            <w:bottom w:w="0" w:type="dxa"/>
            <w:right w:w="108" w:type="dxa"/>
          </w:tblCellMar>
        </w:tblPrEx>
        <w:trPr>
          <w:trHeight w:val="390" w:hRule="atLeast"/>
        </w:trPr>
        <w:tc>
          <w:tcPr>
            <w:tcW w:w="795" w:type="dxa"/>
            <w:tcBorders>
              <w:top w:val="single" w:color="auto" w:sz="6" w:space="0"/>
              <w:left w:val="single" w:color="auto" w:sz="6" w:space="0"/>
              <w:bottom w:val="single" w:color="auto" w:sz="6" w:space="0"/>
              <w:right w:val="single" w:color="auto" w:sz="6" w:space="0"/>
            </w:tcBorders>
          </w:tcPr>
          <w:p>
            <w:pPr>
              <w:autoSpaceDE w:val="0"/>
              <w:autoSpaceDN w:val="0"/>
              <w:jc w:val="left"/>
              <w:rPr>
                <w:rFonts w:ascii="宋体" w:hAnsi="宋体" w:cs="宋体"/>
              </w:rPr>
            </w:pPr>
            <w:r>
              <w:rPr>
                <w:rFonts w:hint="eastAsia" w:ascii="宋体" w:hAnsi="宋体" w:cs="宋体"/>
              </w:rPr>
              <w:t>序号</w:t>
            </w:r>
          </w:p>
        </w:tc>
        <w:tc>
          <w:tcPr>
            <w:tcW w:w="3988" w:type="dxa"/>
            <w:tcBorders>
              <w:top w:val="single" w:color="auto" w:sz="6" w:space="0"/>
              <w:left w:val="single" w:color="auto" w:sz="6" w:space="0"/>
              <w:bottom w:val="single" w:color="auto" w:sz="6" w:space="0"/>
              <w:right w:val="single" w:color="auto" w:sz="6" w:space="0"/>
            </w:tcBorders>
          </w:tcPr>
          <w:p>
            <w:pPr>
              <w:autoSpaceDE w:val="0"/>
              <w:autoSpaceDN w:val="0"/>
              <w:jc w:val="left"/>
              <w:rPr>
                <w:rFonts w:ascii="宋体" w:hAnsi="宋体" w:cs="宋体"/>
              </w:rPr>
            </w:pPr>
            <w:r>
              <w:rPr>
                <w:rFonts w:hint="eastAsia" w:ascii="宋体" w:hAnsi="宋体" w:cs="宋体"/>
              </w:rPr>
              <w:t>项目名称</w:t>
            </w:r>
          </w:p>
        </w:tc>
        <w:tc>
          <w:tcPr>
            <w:tcW w:w="1235" w:type="dxa"/>
            <w:tcBorders>
              <w:top w:val="single" w:color="auto" w:sz="6" w:space="0"/>
              <w:left w:val="single" w:color="auto" w:sz="6" w:space="0"/>
              <w:bottom w:val="single" w:color="auto" w:sz="6" w:space="0"/>
              <w:right w:val="single" w:color="auto" w:sz="6" w:space="0"/>
            </w:tcBorders>
          </w:tcPr>
          <w:p>
            <w:pPr>
              <w:autoSpaceDE w:val="0"/>
              <w:autoSpaceDN w:val="0"/>
              <w:jc w:val="left"/>
              <w:rPr>
                <w:rFonts w:ascii="宋体" w:hAnsi="宋体" w:cs="宋体"/>
              </w:rPr>
            </w:pPr>
            <w:r>
              <w:rPr>
                <w:rFonts w:hint="eastAsia" w:ascii="宋体" w:hAnsi="宋体" w:cs="宋体"/>
              </w:rPr>
              <w:t>计量单位</w:t>
            </w:r>
          </w:p>
        </w:tc>
        <w:tc>
          <w:tcPr>
            <w:tcW w:w="1913" w:type="dxa"/>
            <w:tcBorders>
              <w:top w:val="single" w:color="auto" w:sz="6" w:space="0"/>
              <w:left w:val="single" w:color="auto" w:sz="6" w:space="0"/>
              <w:bottom w:val="single" w:color="auto" w:sz="6" w:space="0"/>
              <w:right w:val="single" w:color="auto" w:sz="6" w:space="0"/>
            </w:tcBorders>
          </w:tcPr>
          <w:p>
            <w:pPr>
              <w:autoSpaceDE w:val="0"/>
              <w:autoSpaceDN w:val="0"/>
              <w:jc w:val="center"/>
              <w:rPr>
                <w:rFonts w:ascii="宋体" w:hAnsi="宋体" w:cs="宋体"/>
              </w:rPr>
            </w:pPr>
            <w:r>
              <w:rPr>
                <w:rFonts w:hint="eastAsia" w:ascii="宋体" w:hAnsi="宋体" w:cs="宋体"/>
              </w:rPr>
              <w:t>暂定金额（元）</w:t>
            </w:r>
          </w:p>
        </w:tc>
        <w:tc>
          <w:tcPr>
            <w:tcW w:w="1369" w:type="dxa"/>
            <w:tcBorders>
              <w:top w:val="single" w:color="auto" w:sz="6" w:space="0"/>
              <w:left w:val="single" w:color="auto" w:sz="6" w:space="0"/>
              <w:bottom w:val="single" w:color="auto" w:sz="6" w:space="0"/>
              <w:right w:val="single" w:color="auto" w:sz="6" w:space="0"/>
            </w:tcBorders>
          </w:tcPr>
          <w:p>
            <w:pPr>
              <w:autoSpaceDE w:val="0"/>
              <w:autoSpaceDN w:val="0"/>
              <w:ind w:firstLine="420" w:firstLineChars="200"/>
              <w:jc w:val="left"/>
              <w:rPr>
                <w:rFonts w:ascii="宋体" w:hAnsi="宋体" w:cs="宋体"/>
              </w:rPr>
            </w:pPr>
            <w:r>
              <w:rPr>
                <w:rFonts w:hint="eastAsia" w:ascii="宋体" w:hAnsi="宋体" w:cs="宋体"/>
              </w:rPr>
              <w:t>备注</w:t>
            </w:r>
          </w:p>
        </w:tc>
      </w:tr>
      <w:tr>
        <w:tblPrEx>
          <w:tblLayout w:type="fixed"/>
          <w:tblCellMar>
            <w:top w:w="0" w:type="dxa"/>
            <w:left w:w="108" w:type="dxa"/>
            <w:bottom w:w="0" w:type="dxa"/>
            <w:right w:w="108" w:type="dxa"/>
          </w:tblCellMar>
        </w:tblPrEx>
        <w:trPr>
          <w:trHeight w:val="300" w:hRule="atLeast"/>
        </w:trPr>
        <w:tc>
          <w:tcPr>
            <w:tcW w:w="795" w:type="dxa"/>
            <w:tcBorders>
              <w:top w:val="single" w:color="auto" w:sz="6" w:space="0"/>
              <w:left w:val="single" w:color="auto" w:sz="6" w:space="0"/>
              <w:bottom w:val="single" w:color="auto" w:sz="6" w:space="0"/>
              <w:right w:val="single" w:color="auto" w:sz="6" w:space="0"/>
            </w:tcBorders>
          </w:tcPr>
          <w:p>
            <w:pPr>
              <w:autoSpaceDE w:val="0"/>
              <w:autoSpaceDN w:val="0"/>
              <w:ind w:firstLine="210" w:firstLineChars="100"/>
              <w:jc w:val="left"/>
              <w:rPr>
                <w:rFonts w:ascii="宋体" w:hAnsi="宋体" w:cs="宋体"/>
              </w:rPr>
            </w:pPr>
            <w:r>
              <w:rPr>
                <w:rFonts w:hint="eastAsia" w:ascii="宋体" w:hAnsi="宋体" w:cs="宋体"/>
              </w:rPr>
              <w:t>1</w:t>
            </w:r>
          </w:p>
        </w:tc>
        <w:tc>
          <w:tcPr>
            <w:tcW w:w="3988" w:type="dxa"/>
            <w:tcBorders>
              <w:top w:val="single" w:color="auto" w:sz="6" w:space="0"/>
              <w:left w:val="single" w:color="auto" w:sz="6" w:space="0"/>
              <w:bottom w:val="single" w:color="auto" w:sz="6" w:space="0"/>
              <w:right w:val="single" w:color="auto" w:sz="6" w:space="0"/>
            </w:tcBorders>
          </w:tcPr>
          <w:p>
            <w:pPr>
              <w:autoSpaceDE w:val="0"/>
              <w:autoSpaceDN w:val="0"/>
              <w:jc w:val="left"/>
              <w:rPr>
                <w:rFonts w:ascii="宋体" w:hAnsi="宋体" w:cs="宋体"/>
              </w:rPr>
            </w:pPr>
            <w:r>
              <w:rPr>
                <w:rFonts w:hint="eastAsia" w:ascii="宋体" w:hAnsi="宋体" w:cs="宋体"/>
              </w:rPr>
              <w:t xml:space="preserve"> 工程量清单中工程量偏差和设计变更</w:t>
            </w:r>
          </w:p>
        </w:tc>
        <w:tc>
          <w:tcPr>
            <w:tcW w:w="1235" w:type="dxa"/>
            <w:tcBorders>
              <w:top w:val="single" w:color="auto" w:sz="6" w:space="0"/>
              <w:left w:val="single" w:color="auto" w:sz="6" w:space="0"/>
              <w:bottom w:val="single" w:color="auto" w:sz="6" w:space="0"/>
              <w:right w:val="single" w:color="auto" w:sz="6" w:space="0"/>
            </w:tcBorders>
          </w:tcPr>
          <w:p>
            <w:pPr>
              <w:autoSpaceDE w:val="0"/>
              <w:autoSpaceDN w:val="0"/>
              <w:ind w:firstLine="210" w:firstLineChars="100"/>
              <w:jc w:val="left"/>
              <w:rPr>
                <w:rFonts w:ascii="宋体" w:hAnsi="宋体" w:cs="宋体"/>
              </w:rPr>
            </w:pPr>
            <w:r>
              <w:rPr>
                <w:rFonts w:hint="eastAsia" w:ascii="宋体" w:hAnsi="宋体" w:cs="宋体"/>
              </w:rPr>
              <w:t>项</w:t>
            </w:r>
          </w:p>
        </w:tc>
        <w:tc>
          <w:tcPr>
            <w:tcW w:w="1913" w:type="dxa"/>
            <w:tcBorders>
              <w:top w:val="single" w:color="auto" w:sz="6" w:space="0"/>
              <w:left w:val="single" w:color="auto" w:sz="6" w:space="0"/>
              <w:bottom w:val="single" w:color="auto" w:sz="6" w:space="0"/>
              <w:right w:val="single" w:color="auto" w:sz="6" w:space="0"/>
            </w:tcBorders>
          </w:tcPr>
          <w:p>
            <w:pPr>
              <w:autoSpaceDE w:val="0"/>
              <w:autoSpaceDN w:val="0"/>
              <w:jc w:val="center"/>
              <w:rPr>
                <w:rFonts w:ascii="宋体" w:hAnsi="宋体" w:cs="宋体"/>
              </w:rPr>
            </w:pPr>
          </w:p>
        </w:tc>
        <w:tc>
          <w:tcPr>
            <w:tcW w:w="1369" w:type="dxa"/>
            <w:tcBorders>
              <w:top w:val="single" w:color="auto" w:sz="6" w:space="0"/>
              <w:left w:val="single" w:color="auto" w:sz="6" w:space="0"/>
              <w:bottom w:val="single" w:color="auto" w:sz="6" w:space="0"/>
              <w:right w:val="single" w:color="auto" w:sz="6" w:space="0"/>
            </w:tcBorders>
          </w:tcPr>
          <w:p>
            <w:pPr>
              <w:autoSpaceDE w:val="0"/>
              <w:autoSpaceDN w:val="0"/>
              <w:jc w:val="left"/>
              <w:rPr>
                <w:rFonts w:ascii="宋体" w:hAnsi="宋体" w:cs="宋体"/>
              </w:rPr>
            </w:pPr>
          </w:p>
        </w:tc>
      </w:tr>
      <w:tr>
        <w:tblPrEx>
          <w:tblLayout w:type="fixed"/>
          <w:tblCellMar>
            <w:top w:w="0" w:type="dxa"/>
            <w:left w:w="108" w:type="dxa"/>
            <w:bottom w:w="0" w:type="dxa"/>
            <w:right w:w="108" w:type="dxa"/>
          </w:tblCellMar>
        </w:tblPrEx>
        <w:trPr>
          <w:trHeight w:val="330" w:hRule="atLeast"/>
        </w:trPr>
        <w:tc>
          <w:tcPr>
            <w:tcW w:w="795" w:type="dxa"/>
            <w:tcBorders>
              <w:top w:val="single" w:color="auto" w:sz="6" w:space="0"/>
              <w:left w:val="single" w:color="auto" w:sz="6" w:space="0"/>
              <w:bottom w:val="single" w:color="auto" w:sz="6" w:space="0"/>
              <w:right w:val="single" w:color="auto" w:sz="6" w:space="0"/>
            </w:tcBorders>
          </w:tcPr>
          <w:p>
            <w:pPr>
              <w:autoSpaceDE w:val="0"/>
              <w:autoSpaceDN w:val="0"/>
              <w:ind w:firstLine="210" w:firstLineChars="100"/>
              <w:jc w:val="left"/>
              <w:rPr>
                <w:rFonts w:ascii="宋体" w:hAnsi="宋体" w:cs="宋体"/>
              </w:rPr>
            </w:pPr>
            <w:r>
              <w:rPr>
                <w:rFonts w:hint="eastAsia" w:ascii="宋体" w:hAnsi="宋体" w:cs="宋体"/>
              </w:rPr>
              <w:t>2</w:t>
            </w:r>
          </w:p>
        </w:tc>
        <w:tc>
          <w:tcPr>
            <w:tcW w:w="3988" w:type="dxa"/>
            <w:tcBorders>
              <w:top w:val="single" w:color="auto" w:sz="6" w:space="0"/>
              <w:left w:val="single" w:color="auto" w:sz="6" w:space="0"/>
              <w:bottom w:val="single" w:color="auto" w:sz="6" w:space="0"/>
              <w:right w:val="single" w:color="auto" w:sz="6" w:space="0"/>
            </w:tcBorders>
          </w:tcPr>
          <w:p>
            <w:pPr>
              <w:autoSpaceDE w:val="0"/>
              <w:autoSpaceDN w:val="0"/>
              <w:jc w:val="left"/>
              <w:rPr>
                <w:rFonts w:ascii="宋体" w:hAnsi="宋体" w:cs="宋体"/>
              </w:rPr>
            </w:pPr>
            <w:r>
              <w:rPr>
                <w:rFonts w:hint="eastAsia" w:ascii="宋体" w:hAnsi="宋体" w:cs="宋体"/>
              </w:rPr>
              <w:t xml:space="preserve"> 政策性调整和材料价格风险</w:t>
            </w:r>
          </w:p>
        </w:tc>
        <w:tc>
          <w:tcPr>
            <w:tcW w:w="1235" w:type="dxa"/>
            <w:tcBorders>
              <w:top w:val="single" w:color="auto" w:sz="6" w:space="0"/>
              <w:left w:val="single" w:color="auto" w:sz="6" w:space="0"/>
              <w:bottom w:val="single" w:color="auto" w:sz="6" w:space="0"/>
              <w:right w:val="single" w:color="auto" w:sz="6" w:space="0"/>
            </w:tcBorders>
          </w:tcPr>
          <w:p>
            <w:pPr>
              <w:autoSpaceDE w:val="0"/>
              <w:autoSpaceDN w:val="0"/>
              <w:ind w:firstLine="210" w:firstLineChars="100"/>
              <w:jc w:val="left"/>
              <w:rPr>
                <w:rFonts w:ascii="宋体" w:hAnsi="宋体" w:cs="宋体"/>
              </w:rPr>
            </w:pPr>
            <w:r>
              <w:rPr>
                <w:rFonts w:hint="eastAsia" w:ascii="宋体" w:hAnsi="宋体" w:cs="宋体"/>
              </w:rPr>
              <w:t>项</w:t>
            </w:r>
          </w:p>
        </w:tc>
        <w:tc>
          <w:tcPr>
            <w:tcW w:w="1913" w:type="dxa"/>
            <w:tcBorders>
              <w:top w:val="single" w:color="auto" w:sz="6" w:space="0"/>
              <w:left w:val="single" w:color="auto" w:sz="6" w:space="0"/>
              <w:bottom w:val="single" w:color="auto" w:sz="6" w:space="0"/>
              <w:right w:val="single" w:color="auto" w:sz="6" w:space="0"/>
            </w:tcBorders>
          </w:tcPr>
          <w:p>
            <w:pPr>
              <w:autoSpaceDE w:val="0"/>
              <w:autoSpaceDN w:val="0"/>
              <w:jc w:val="center"/>
              <w:rPr>
                <w:rFonts w:ascii="宋体" w:hAnsi="宋体" w:cs="宋体"/>
              </w:rPr>
            </w:pPr>
          </w:p>
        </w:tc>
        <w:tc>
          <w:tcPr>
            <w:tcW w:w="1369" w:type="dxa"/>
            <w:tcBorders>
              <w:top w:val="single" w:color="auto" w:sz="6" w:space="0"/>
              <w:left w:val="single" w:color="auto" w:sz="6" w:space="0"/>
              <w:bottom w:val="single" w:color="auto" w:sz="6" w:space="0"/>
              <w:right w:val="single" w:color="auto" w:sz="6" w:space="0"/>
            </w:tcBorders>
          </w:tcPr>
          <w:p>
            <w:pPr>
              <w:autoSpaceDE w:val="0"/>
              <w:autoSpaceDN w:val="0"/>
              <w:jc w:val="left"/>
              <w:rPr>
                <w:rFonts w:ascii="宋体" w:hAnsi="宋体" w:cs="宋体"/>
              </w:rPr>
            </w:pPr>
          </w:p>
        </w:tc>
      </w:tr>
      <w:tr>
        <w:tblPrEx>
          <w:tblLayout w:type="fixed"/>
          <w:tblCellMar>
            <w:top w:w="0" w:type="dxa"/>
            <w:left w:w="108" w:type="dxa"/>
            <w:bottom w:w="0" w:type="dxa"/>
            <w:right w:w="108" w:type="dxa"/>
          </w:tblCellMar>
        </w:tblPrEx>
        <w:trPr>
          <w:trHeight w:val="370" w:hRule="atLeast"/>
        </w:trPr>
        <w:tc>
          <w:tcPr>
            <w:tcW w:w="795" w:type="dxa"/>
            <w:tcBorders>
              <w:top w:val="single" w:color="auto" w:sz="6" w:space="0"/>
              <w:left w:val="single" w:color="auto" w:sz="6" w:space="0"/>
              <w:bottom w:val="single" w:color="auto" w:sz="6" w:space="0"/>
              <w:right w:val="single" w:color="auto" w:sz="6" w:space="0"/>
            </w:tcBorders>
          </w:tcPr>
          <w:p>
            <w:pPr>
              <w:autoSpaceDE w:val="0"/>
              <w:autoSpaceDN w:val="0"/>
              <w:ind w:firstLine="210" w:firstLineChars="100"/>
              <w:jc w:val="left"/>
              <w:rPr>
                <w:rFonts w:ascii="宋体" w:hAnsi="宋体" w:cs="宋体"/>
              </w:rPr>
            </w:pPr>
            <w:r>
              <w:rPr>
                <w:rFonts w:hint="eastAsia" w:ascii="宋体" w:hAnsi="宋体" w:cs="宋体"/>
              </w:rPr>
              <w:t>3</w:t>
            </w:r>
          </w:p>
        </w:tc>
        <w:tc>
          <w:tcPr>
            <w:tcW w:w="3988" w:type="dxa"/>
            <w:tcBorders>
              <w:top w:val="single" w:color="auto" w:sz="6" w:space="0"/>
              <w:left w:val="single" w:color="auto" w:sz="6" w:space="0"/>
              <w:bottom w:val="single" w:color="auto" w:sz="6" w:space="0"/>
              <w:right w:val="single" w:color="auto" w:sz="6" w:space="0"/>
            </w:tcBorders>
          </w:tcPr>
          <w:p>
            <w:pPr>
              <w:autoSpaceDE w:val="0"/>
              <w:autoSpaceDN w:val="0"/>
              <w:jc w:val="left"/>
              <w:rPr>
                <w:rFonts w:hint="eastAsia" w:ascii="宋体" w:hAnsi="宋体" w:eastAsia="宋体" w:cs="宋体"/>
                <w:lang w:val="en-US" w:eastAsia="zh-CN"/>
              </w:rPr>
            </w:pPr>
            <w:r>
              <w:rPr>
                <w:rFonts w:hint="eastAsia" w:ascii="宋体" w:hAnsi="宋体" w:cs="宋体"/>
              </w:rPr>
              <w:t xml:space="preserve"> 预留</w:t>
            </w:r>
            <w:r>
              <w:rPr>
                <w:rFonts w:hint="eastAsia" w:ascii="宋体" w:hAnsi="宋体" w:cs="宋体"/>
                <w:lang w:eastAsia="zh-CN"/>
              </w:rPr>
              <w:t>金</w:t>
            </w:r>
          </w:p>
        </w:tc>
        <w:tc>
          <w:tcPr>
            <w:tcW w:w="1235" w:type="dxa"/>
            <w:tcBorders>
              <w:top w:val="single" w:color="auto" w:sz="6" w:space="0"/>
              <w:left w:val="single" w:color="auto" w:sz="6" w:space="0"/>
              <w:bottom w:val="single" w:color="auto" w:sz="6" w:space="0"/>
              <w:right w:val="single" w:color="auto" w:sz="6" w:space="0"/>
            </w:tcBorders>
          </w:tcPr>
          <w:p>
            <w:pPr>
              <w:autoSpaceDE w:val="0"/>
              <w:autoSpaceDN w:val="0"/>
              <w:ind w:firstLine="210" w:firstLineChars="100"/>
              <w:jc w:val="left"/>
              <w:rPr>
                <w:rFonts w:ascii="宋体" w:hAnsi="宋体" w:cs="宋体"/>
              </w:rPr>
            </w:pPr>
            <w:r>
              <w:rPr>
                <w:rFonts w:hint="eastAsia" w:ascii="宋体" w:hAnsi="宋体" w:cs="宋体"/>
              </w:rPr>
              <w:t>项</w:t>
            </w:r>
          </w:p>
        </w:tc>
        <w:tc>
          <w:tcPr>
            <w:tcW w:w="1913" w:type="dxa"/>
            <w:tcBorders>
              <w:top w:val="single" w:color="auto" w:sz="6" w:space="0"/>
              <w:left w:val="single" w:color="auto" w:sz="6" w:space="0"/>
              <w:bottom w:val="single" w:color="auto" w:sz="6" w:space="0"/>
              <w:right w:val="single" w:color="auto" w:sz="6" w:space="0"/>
            </w:tcBorders>
          </w:tcPr>
          <w:p>
            <w:pPr>
              <w:autoSpaceDE w:val="0"/>
              <w:autoSpaceDN w:val="0"/>
              <w:jc w:val="center"/>
              <w:rPr>
                <w:rFonts w:hint="default" w:ascii="宋体" w:hAnsi="宋体" w:eastAsia="宋体" w:cs="宋体"/>
                <w:lang w:val="en-US" w:eastAsia="zh-CN"/>
              </w:rPr>
            </w:pPr>
            <w:r>
              <w:rPr>
                <w:rFonts w:hint="eastAsia" w:ascii="宋体" w:hAnsi="宋体" w:cs="宋体"/>
                <w:lang w:val="en-US" w:eastAsia="zh-CN"/>
              </w:rPr>
              <w:t>80000</w:t>
            </w:r>
          </w:p>
        </w:tc>
        <w:tc>
          <w:tcPr>
            <w:tcW w:w="1369" w:type="dxa"/>
            <w:tcBorders>
              <w:top w:val="single" w:color="auto" w:sz="6" w:space="0"/>
              <w:left w:val="single" w:color="auto" w:sz="6" w:space="0"/>
              <w:bottom w:val="single" w:color="auto" w:sz="6" w:space="0"/>
              <w:right w:val="single" w:color="auto" w:sz="6" w:space="0"/>
            </w:tcBorders>
          </w:tcPr>
          <w:p>
            <w:pPr>
              <w:autoSpaceDE w:val="0"/>
              <w:autoSpaceDN w:val="0"/>
              <w:jc w:val="left"/>
              <w:rPr>
                <w:rFonts w:ascii="宋体" w:hAnsi="宋体" w:cs="宋体"/>
              </w:rPr>
            </w:pPr>
          </w:p>
        </w:tc>
      </w:tr>
      <w:tr>
        <w:tblPrEx>
          <w:tblLayout w:type="fixed"/>
          <w:tblCellMar>
            <w:top w:w="0" w:type="dxa"/>
            <w:left w:w="108" w:type="dxa"/>
            <w:bottom w:w="0" w:type="dxa"/>
            <w:right w:w="108" w:type="dxa"/>
          </w:tblCellMar>
        </w:tblPrEx>
        <w:trPr>
          <w:trHeight w:val="280" w:hRule="atLeast"/>
        </w:trPr>
        <w:tc>
          <w:tcPr>
            <w:tcW w:w="795" w:type="dxa"/>
            <w:tcBorders>
              <w:top w:val="single" w:color="auto" w:sz="6" w:space="0"/>
              <w:left w:val="single" w:color="auto" w:sz="6" w:space="0"/>
              <w:bottom w:val="single" w:color="auto" w:sz="6" w:space="0"/>
              <w:right w:val="single" w:color="auto" w:sz="6" w:space="0"/>
            </w:tcBorders>
          </w:tcPr>
          <w:p>
            <w:pPr>
              <w:autoSpaceDE w:val="0"/>
              <w:autoSpaceDN w:val="0"/>
              <w:jc w:val="left"/>
              <w:rPr>
                <w:rFonts w:ascii="宋体" w:hAnsi="宋体" w:cs="宋体"/>
              </w:rPr>
            </w:pPr>
          </w:p>
        </w:tc>
        <w:tc>
          <w:tcPr>
            <w:tcW w:w="3988" w:type="dxa"/>
            <w:tcBorders>
              <w:top w:val="single" w:color="auto" w:sz="6" w:space="0"/>
              <w:left w:val="single" w:color="auto" w:sz="6" w:space="0"/>
              <w:bottom w:val="single" w:color="auto" w:sz="6" w:space="0"/>
              <w:right w:val="single" w:color="auto" w:sz="6" w:space="0"/>
            </w:tcBorders>
          </w:tcPr>
          <w:p>
            <w:pPr>
              <w:autoSpaceDE w:val="0"/>
              <w:autoSpaceDN w:val="0"/>
              <w:jc w:val="left"/>
              <w:rPr>
                <w:rFonts w:ascii="宋体" w:hAnsi="宋体" w:cs="宋体"/>
              </w:rPr>
            </w:pPr>
            <w:r>
              <w:rPr>
                <w:rFonts w:hint="eastAsia" w:ascii="宋体" w:hAnsi="宋体" w:cs="宋体"/>
              </w:rPr>
              <w:t xml:space="preserve"> 合计</w:t>
            </w:r>
          </w:p>
        </w:tc>
        <w:tc>
          <w:tcPr>
            <w:tcW w:w="1235" w:type="dxa"/>
            <w:tcBorders>
              <w:top w:val="single" w:color="auto" w:sz="6" w:space="0"/>
              <w:left w:val="single" w:color="auto" w:sz="6" w:space="0"/>
              <w:bottom w:val="single" w:color="auto" w:sz="6" w:space="0"/>
              <w:right w:val="single" w:color="auto" w:sz="6" w:space="0"/>
            </w:tcBorders>
          </w:tcPr>
          <w:p>
            <w:pPr>
              <w:autoSpaceDE w:val="0"/>
              <w:autoSpaceDN w:val="0"/>
              <w:jc w:val="left"/>
              <w:rPr>
                <w:rFonts w:ascii="宋体" w:hAnsi="宋体" w:cs="宋体"/>
              </w:rPr>
            </w:pPr>
          </w:p>
        </w:tc>
        <w:tc>
          <w:tcPr>
            <w:tcW w:w="1913" w:type="dxa"/>
            <w:tcBorders>
              <w:top w:val="single" w:color="auto" w:sz="6" w:space="0"/>
              <w:left w:val="single" w:color="auto" w:sz="6" w:space="0"/>
              <w:bottom w:val="single" w:color="auto" w:sz="6" w:space="0"/>
              <w:right w:val="single" w:color="auto" w:sz="6" w:space="0"/>
            </w:tcBorders>
          </w:tcPr>
          <w:p>
            <w:pPr>
              <w:autoSpaceDE w:val="0"/>
              <w:autoSpaceDN w:val="0"/>
              <w:jc w:val="center"/>
              <w:rPr>
                <w:rFonts w:hint="default" w:ascii="宋体" w:hAnsi="宋体" w:eastAsia="宋体" w:cs="宋体"/>
                <w:lang w:val="en-US" w:eastAsia="zh-CN"/>
              </w:rPr>
            </w:pPr>
            <w:r>
              <w:rPr>
                <w:rFonts w:hint="eastAsia" w:ascii="宋体" w:hAnsi="宋体" w:cs="宋体"/>
                <w:lang w:val="en-US" w:eastAsia="zh-CN"/>
              </w:rPr>
              <w:t>80000</w:t>
            </w:r>
          </w:p>
        </w:tc>
        <w:tc>
          <w:tcPr>
            <w:tcW w:w="1369" w:type="dxa"/>
            <w:tcBorders>
              <w:top w:val="single" w:color="auto" w:sz="6" w:space="0"/>
              <w:left w:val="single" w:color="auto" w:sz="6" w:space="0"/>
              <w:bottom w:val="single" w:color="auto" w:sz="6" w:space="0"/>
              <w:right w:val="single" w:color="auto" w:sz="6" w:space="0"/>
            </w:tcBorders>
          </w:tcPr>
          <w:p>
            <w:pPr>
              <w:autoSpaceDE w:val="0"/>
              <w:autoSpaceDN w:val="0"/>
              <w:jc w:val="left"/>
              <w:rPr>
                <w:rFonts w:ascii="宋体" w:hAnsi="宋体" w:cs="宋体"/>
              </w:rPr>
            </w:pPr>
          </w:p>
        </w:tc>
      </w:tr>
    </w:tbl>
    <w:p>
      <w:pPr>
        <w:numPr>
          <w:ilvl w:val="0"/>
          <w:numId w:val="0"/>
        </w:numPr>
        <w:autoSpaceDE w:val="0"/>
        <w:autoSpaceDN w:val="0"/>
        <w:adjustRightInd w:val="0"/>
        <w:spacing w:line="440" w:lineRule="exact"/>
        <w:rPr>
          <w:rFonts w:ascii="宋体" w:hAnsi="宋体"/>
          <w:b/>
          <w:bCs/>
          <w:szCs w:val="21"/>
        </w:rPr>
      </w:pPr>
    </w:p>
    <w:tbl>
      <w:tblPr>
        <w:tblStyle w:val="8"/>
        <w:tblpPr w:leftFromText="180" w:rightFromText="180" w:vertAnchor="text" w:horzAnchor="page" w:tblpX="1402" w:tblpY="507"/>
        <w:tblOverlap w:val="never"/>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6311"/>
        <w:gridCol w:w="2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gridSpan w:val="3"/>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cs="宋体"/>
              </w:rPr>
            </w:pPr>
            <w:r>
              <w:rPr>
                <w:rFonts w:hint="eastAsia" w:ascii="宋体" w:hAnsi="宋体" w:cs="宋体"/>
              </w:rPr>
              <w:t>项目编号：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gridSpan w:val="3"/>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cs="宋体"/>
              </w:rPr>
            </w:pPr>
            <w:r>
              <w:rPr>
                <w:rFonts w:hint="eastAsia" w:ascii="宋体" w:hAnsi="宋体" w:cs="宋体"/>
                <w:lang w:val="zh-CN"/>
              </w:rPr>
              <w:t>工程名称：创新村党群服务中心装修工程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9288" w:type="dxa"/>
            <w:gridSpan w:val="3"/>
            <w:tcBorders>
              <w:top w:val="single" w:color="auto" w:sz="4" w:space="0"/>
              <w:left w:val="single" w:color="auto" w:sz="4" w:space="0"/>
              <w:bottom w:val="single" w:color="auto" w:sz="4" w:space="0"/>
              <w:right w:val="single" w:color="auto" w:sz="4" w:space="0"/>
            </w:tcBorders>
          </w:tcPr>
          <w:p>
            <w:pPr>
              <w:autoSpaceDE w:val="0"/>
              <w:autoSpaceDN w:val="0"/>
              <w:jc w:val="left"/>
              <w:rPr>
                <w:rFonts w:hint="default" w:ascii="宋体" w:hAnsi="宋体" w:eastAsia="宋体" w:cs="宋体"/>
                <w:lang w:val="en-US" w:eastAsia="zh-CN"/>
              </w:rPr>
            </w:pPr>
            <w:r>
              <w:rPr>
                <w:rFonts w:hint="eastAsia" w:ascii="宋体" w:hAnsi="宋体" w:cs="宋体"/>
              </w:rPr>
              <w:t>建设单位</w:t>
            </w:r>
            <w:r>
              <w:rPr>
                <w:rFonts w:hint="eastAsia" w:ascii="宋体" w:hAnsi="宋体" w:cs="宋体"/>
                <w:lang w:val="zh-CN"/>
              </w:rPr>
              <w:t>：</w:t>
            </w:r>
            <w:r>
              <w:rPr>
                <w:rFonts w:hint="eastAsia"/>
              </w:rPr>
              <w:t>江阴市申港街道创新村村民委员会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gridSpan w:val="3"/>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cs="宋体"/>
              </w:rPr>
            </w:pPr>
            <w:r>
              <w:rPr>
                <w:rFonts w:hint="eastAsia" w:ascii="宋体" w:hAnsi="宋体" w:cs="宋体"/>
              </w:rPr>
              <w:t>单位工程明细：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657" w:type="dxa"/>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cs="宋体"/>
              </w:rPr>
            </w:pPr>
            <w:r>
              <w:rPr>
                <w:rFonts w:hint="eastAsia" w:ascii="宋体" w:hAnsi="宋体" w:cs="宋体"/>
              </w:rPr>
              <w:t>编号</w:t>
            </w:r>
          </w:p>
        </w:tc>
        <w:tc>
          <w:tcPr>
            <w:tcW w:w="6311" w:type="dxa"/>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cs="宋体"/>
              </w:rPr>
            </w:pPr>
            <w:r>
              <w:rPr>
                <w:rFonts w:hint="eastAsia" w:ascii="宋体" w:hAnsi="宋体" w:cs="宋体"/>
              </w:rPr>
              <w:t>单位工程名称</w:t>
            </w:r>
          </w:p>
        </w:tc>
        <w:tc>
          <w:tcPr>
            <w:tcW w:w="2320" w:type="dxa"/>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7" w:type="dxa"/>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cs="宋体"/>
              </w:rPr>
            </w:pPr>
            <w:r>
              <w:rPr>
                <w:rFonts w:hint="eastAsia" w:ascii="宋体" w:hAnsi="宋体" w:cs="宋体"/>
              </w:rPr>
              <w:t>001</w:t>
            </w:r>
          </w:p>
        </w:tc>
        <w:tc>
          <w:tcPr>
            <w:tcW w:w="6311" w:type="dxa"/>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cs="宋体"/>
              </w:rPr>
            </w:pPr>
            <w:r>
              <w:rPr>
                <w:rFonts w:hint="eastAsia" w:ascii="宋体" w:hAnsi="宋体" w:cs="宋体"/>
                <w:lang w:val="zh-CN"/>
              </w:rPr>
              <w:t>创新村党群服务中心装修工程</w:t>
            </w:r>
            <w:r>
              <w:rPr>
                <w:rFonts w:hint="eastAsia" w:ascii="宋体" w:hAnsi="宋体" w:cs="宋体"/>
                <w:bCs/>
                <w:sz w:val="24"/>
                <w:lang w:val="en-US" w:eastAsia="zh-CN"/>
              </w:rPr>
              <w:t>-装饰工程</w:t>
            </w:r>
          </w:p>
        </w:tc>
        <w:tc>
          <w:tcPr>
            <w:tcW w:w="2320" w:type="dxa"/>
            <w:tcBorders>
              <w:top w:val="single" w:color="auto" w:sz="4" w:space="0"/>
              <w:left w:val="single" w:color="auto" w:sz="4" w:space="0"/>
              <w:bottom w:val="single" w:color="auto" w:sz="4" w:space="0"/>
              <w:right w:val="single" w:color="auto" w:sz="4" w:space="0"/>
            </w:tcBorders>
          </w:tcPr>
          <w:p>
            <w:pPr>
              <w:autoSpaceDE w:val="0"/>
              <w:autoSpaceDN w:val="0"/>
              <w:jc w:val="center"/>
              <w:rPr>
                <w:rFonts w:ascii="宋体" w:hAnsi="宋体" w:cs="宋体"/>
              </w:rPr>
            </w:pPr>
            <w:r>
              <w:rPr>
                <w:rFonts w:hint="eastAsia" w:ascii="宋体" w:hAnsi="宋体" w:cs="宋体"/>
              </w:rPr>
              <w:t>按【</w:t>
            </w:r>
            <w:r>
              <w:rPr>
                <w:rFonts w:hint="eastAsia" w:ascii="宋体" w:hAnsi="宋体" w:cs="宋体"/>
                <w:lang w:val="en-US" w:eastAsia="zh-CN"/>
              </w:rPr>
              <w:t>装饰</w:t>
            </w:r>
            <w:r>
              <w:rPr>
                <w:rFonts w:hint="eastAsia" w:ascii="宋体" w:hAnsi="宋体" w:cs="宋体"/>
              </w:rPr>
              <w:t>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7" w:type="dxa"/>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cs="宋体"/>
              </w:rPr>
            </w:pPr>
            <w:r>
              <w:rPr>
                <w:rFonts w:hint="eastAsia" w:ascii="宋体" w:hAnsi="宋体" w:cs="宋体"/>
              </w:rPr>
              <w:t>002</w:t>
            </w:r>
          </w:p>
        </w:tc>
        <w:tc>
          <w:tcPr>
            <w:tcW w:w="6311" w:type="dxa"/>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cs="宋体"/>
              </w:rPr>
            </w:pPr>
            <w:r>
              <w:rPr>
                <w:rFonts w:hint="eastAsia" w:ascii="宋体" w:hAnsi="宋体" w:cs="宋体"/>
                <w:lang w:val="zh-CN"/>
              </w:rPr>
              <w:t>创新村党群服务中心装修工程</w:t>
            </w:r>
            <w:r>
              <w:rPr>
                <w:rFonts w:hint="eastAsia" w:ascii="宋体" w:hAnsi="宋体" w:cs="宋体"/>
                <w:bCs/>
                <w:sz w:val="24"/>
                <w:lang w:val="en-US" w:eastAsia="zh-CN"/>
              </w:rPr>
              <w:t>-安装工程</w:t>
            </w:r>
          </w:p>
        </w:tc>
        <w:tc>
          <w:tcPr>
            <w:tcW w:w="2320" w:type="dxa"/>
            <w:tcBorders>
              <w:top w:val="single" w:color="auto" w:sz="4" w:space="0"/>
              <w:left w:val="single" w:color="auto" w:sz="4" w:space="0"/>
              <w:bottom w:val="single" w:color="auto" w:sz="4" w:space="0"/>
              <w:right w:val="single" w:color="auto" w:sz="4" w:space="0"/>
            </w:tcBorders>
          </w:tcPr>
          <w:p>
            <w:pPr>
              <w:autoSpaceDE w:val="0"/>
              <w:autoSpaceDN w:val="0"/>
              <w:jc w:val="center"/>
              <w:rPr>
                <w:rFonts w:ascii="宋体" w:hAnsi="宋体" w:cs="宋体"/>
              </w:rPr>
            </w:pPr>
            <w:r>
              <w:rPr>
                <w:rFonts w:hint="eastAsia" w:ascii="宋体" w:hAnsi="宋体" w:cs="宋体"/>
              </w:rPr>
              <w:t>按【</w:t>
            </w:r>
            <w:r>
              <w:rPr>
                <w:rFonts w:hint="eastAsia" w:ascii="宋体" w:hAnsi="宋体" w:cs="宋体"/>
                <w:kern w:val="0"/>
                <w:szCs w:val="21"/>
              </w:rPr>
              <w:t>安装</w:t>
            </w:r>
            <w:r>
              <w:rPr>
                <w:rFonts w:hint="eastAsia" w:ascii="宋体" w:hAnsi="宋体" w:cs="宋体"/>
              </w:rPr>
              <w:t>工程】</w:t>
            </w:r>
          </w:p>
        </w:tc>
      </w:tr>
    </w:tbl>
    <w:p>
      <w:pPr>
        <w:numPr>
          <w:ilvl w:val="0"/>
          <w:numId w:val="0"/>
        </w:numPr>
        <w:snapToGrid w:val="0"/>
        <w:spacing w:line="440" w:lineRule="atLeast"/>
        <w:ind w:leftChars="0"/>
        <w:rPr>
          <w:rFonts w:ascii="宋体" w:hAnsi="宋体" w:cs="宋体"/>
          <w:b/>
          <w:sz w:val="24"/>
          <w:lang w:val="zh-CN"/>
        </w:rPr>
      </w:pPr>
      <w:r>
        <w:rPr>
          <w:rFonts w:hint="eastAsia" w:ascii="宋体" w:hAnsi="宋体" w:cs="宋体"/>
          <w:b/>
          <w:sz w:val="24"/>
          <w:lang w:eastAsia="zh-CN"/>
        </w:rPr>
        <w:t>十三</w:t>
      </w:r>
      <w:r>
        <w:rPr>
          <w:rFonts w:hint="eastAsia" w:ascii="宋体" w:hAnsi="宋体" w:cs="宋体"/>
          <w:b/>
          <w:sz w:val="24"/>
          <w:lang w:val="en-US" w:eastAsia="zh-CN"/>
        </w:rPr>
        <w:t>.</w:t>
      </w:r>
      <w:r>
        <w:rPr>
          <w:rFonts w:hint="eastAsia" w:ascii="宋体" w:hAnsi="宋体" w:cs="宋体"/>
          <w:b/>
          <w:sz w:val="24"/>
        </w:rPr>
        <w:t>工程信息明细：</w:t>
      </w:r>
    </w:p>
    <w:p>
      <w:pPr>
        <w:tabs>
          <w:tab w:val="left" w:pos="5944"/>
        </w:tabs>
        <w:autoSpaceDE w:val="0"/>
        <w:autoSpaceDN w:val="0"/>
        <w:adjustRightInd w:val="0"/>
        <w:spacing w:line="360" w:lineRule="auto"/>
        <w:jc w:val="right"/>
        <w:rPr>
          <w:rFonts w:ascii="宋体" w:hAnsi="宋体" w:cs="宋体"/>
          <w:kern w:val="0"/>
          <w:sz w:val="24"/>
        </w:rPr>
      </w:pPr>
    </w:p>
    <w:p>
      <w:pPr>
        <w:spacing w:line="440" w:lineRule="exact"/>
        <w:ind w:right="20" w:firstLine="5280" w:firstLineChars="2200"/>
        <w:jc w:val="right"/>
        <w:rPr>
          <w:rFonts w:hint="eastAsia" w:ascii="宋体" w:hAnsi="宋体" w:cs="宋体"/>
          <w:kern w:val="0"/>
          <w:sz w:val="24"/>
        </w:rPr>
      </w:pPr>
      <w:r>
        <w:rPr>
          <w:rFonts w:hint="eastAsia" w:ascii="宋体" w:hAnsi="宋体"/>
          <w:sz w:val="24"/>
        </w:rPr>
        <w:t xml:space="preserve"> </w:t>
      </w:r>
      <w:r>
        <w:rPr>
          <w:rFonts w:hint="eastAsia" w:ascii="宋体" w:hAnsi="宋体"/>
          <w:sz w:val="24"/>
          <w:lang w:val="en-US" w:eastAsia="zh-CN"/>
        </w:rPr>
        <w:t>江苏鸿成工程项目管理有限公司</w:t>
      </w:r>
    </w:p>
    <w:p>
      <w:pPr>
        <w:snapToGrid w:val="0"/>
        <w:spacing w:line="440" w:lineRule="atLeast"/>
        <w:ind w:firstLine="465"/>
        <w:jc w:val="right"/>
        <w:rPr>
          <w:rFonts w:ascii="宋体" w:hAnsi="宋体"/>
          <w:sz w:val="24"/>
        </w:rPr>
      </w:pPr>
      <w:r>
        <w:rPr>
          <w:rFonts w:hint="eastAsia" w:ascii="宋体" w:hAnsi="宋体"/>
          <w:sz w:val="24"/>
        </w:rPr>
        <w:t xml:space="preserve">       2019年</w:t>
      </w:r>
      <w:r>
        <w:rPr>
          <w:rFonts w:hint="eastAsia" w:ascii="宋体" w:hAnsi="宋体"/>
          <w:sz w:val="24"/>
          <w:lang w:val="en-US" w:eastAsia="zh-CN"/>
        </w:rPr>
        <w:t>9</w:t>
      </w:r>
      <w:r>
        <w:rPr>
          <w:rFonts w:hint="eastAsia" w:ascii="宋体" w:hAnsi="宋体"/>
          <w:sz w:val="24"/>
        </w:rPr>
        <w:t>月</w:t>
      </w:r>
      <w:r>
        <w:rPr>
          <w:rFonts w:hint="eastAsia" w:ascii="宋体" w:hAnsi="宋体"/>
          <w:sz w:val="24"/>
          <w:lang w:val="en-US" w:eastAsia="zh-CN"/>
        </w:rPr>
        <w:t>12</w:t>
      </w:r>
      <w:r>
        <w:rPr>
          <w:rFonts w:hint="eastAsia" w:ascii="宋体" w:hAnsi="宋体"/>
          <w:sz w:val="24"/>
        </w:rPr>
        <w:t>日</w:t>
      </w:r>
    </w:p>
    <w:p>
      <w:pPr>
        <w:autoSpaceDE w:val="0"/>
        <w:autoSpaceDN w:val="0"/>
        <w:jc w:val="left"/>
      </w:pPr>
      <w:bookmarkStart w:id="0" w:name="_GoBack"/>
      <w:bookmarkEnd w:id="0"/>
    </w:p>
    <w:sectPr>
      <w:headerReference r:id="rId3" w:type="default"/>
      <w:footerReference r:id="rId4" w:type="default"/>
      <w:footerReference r:id="rId5" w:type="even"/>
      <w:pgSz w:w="11906" w:h="16838"/>
      <w:pgMar w:top="1091" w:right="829" w:bottom="779" w:left="9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2C2DD"/>
    <w:multiLevelType w:val="singleLevel"/>
    <w:tmpl w:val="1892C2DD"/>
    <w:lvl w:ilvl="0" w:tentative="0">
      <w:start w:val="1"/>
      <w:numFmt w:val="decimal"/>
      <w:suff w:val="nothing"/>
      <w:lvlText w:val="%1、"/>
      <w:lvlJc w:val="left"/>
      <w:pPr>
        <w:ind w:left="903" w:firstLine="0"/>
      </w:pPr>
    </w:lvl>
  </w:abstractNum>
  <w:abstractNum w:abstractNumId="1">
    <w:nsid w:val="55B99465"/>
    <w:multiLevelType w:val="singleLevel"/>
    <w:tmpl w:val="55B99465"/>
    <w:lvl w:ilvl="0" w:tentative="0">
      <w:start w:val="1"/>
      <w:numFmt w:val="decimal"/>
      <w:lvlText w:val="%1."/>
      <w:lvlJc w:val="left"/>
      <w:pPr>
        <w:tabs>
          <w:tab w:val="left" w:pos="425"/>
        </w:tabs>
        <w:ind w:left="425" w:hanging="425"/>
      </w:pPr>
      <w:rPr>
        <w:rFonts w:hint="default"/>
      </w:rPr>
    </w:lvl>
  </w:abstractNum>
  <w:abstractNum w:abstractNumId="2">
    <w:nsid w:val="55D3F4C5"/>
    <w:multiLevelType w:val="singleLevel"/>
    <w:tmpl w:val="55D3F4C5"/>
    <w:lvl w:ilvl="0" w:tentative="0">
      <w:start w:val="1"/>
      <w:numFmt w:val="chineseCounting"/>
      <w:lvlText w:val="%1."/>
      <w:lvlJc w:val="left"/>
      <w:pPr>
        <w:tabs>
          <w:tab w:val="left" w:pos="425"/>
        </w:tabs>
        <w:ind w:left="425" w:hanging="425"/>
      </w:pPr>
      <w:rPr>
        <w:rFonts w:hint="eastAsia"/>
      </w:rPr>
    </w:lvl>
  </w:abstractNum>
  <w:abstractNum w:abstractNumId="3">
    <w:nsid w:val="6F7810CC"/>
    <w:multiLevelType w:val="singleLevel"/>
    <w:tmpl w:val="6F7810CC"/>
    <w:lvl w:ilvl="0" w:tentative="0">
      <w:start w:val="1"/>
      <w:numFmt w:val="decimal"/>
      <w:suff w:val="nothing"/>
      <w:lvlText w:val="%1、"/>
      <w:lvlJc w:val="left"/>
      <w:pPr>
        <w:ind w:left="903" w:firstLine="0"/>
      </w:pPr>
    </w:lvl>
  </w:abstractNum>
  <w:num w:numId="1">
    <w:abstractNumId w:val="2"/>
    <w:lvlOverride w:ilvl="0">
      <w:startOverride w:val="1"/>
    </w:lvlOverride>
  </w:num>
  <w:num w:numId="2">
    <w:abstractNumId w:val="1"/>
    <w:lvlOverride w:ilvl="0">
      <w:startOverride w:val="1"/>
    </w:lvlOverride>
  </w:num>
  <w:num w:numId="3">
    <w:abstractNumId w:val="3"/>
    <w:lvlOverride w:ilvl="0">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918"/>
    <w:rsid w:val="00055546"/>
    <w:rsid w:val="00143FFB"/>
    <w:rsid w:val="00172A27"/>
    <w:rsid w:val="001A6AF9"/>
    <w:rsid w:val="001E7F76"/>
    <w:rsid w:val="00275DDF"/>
    <w:rsid w:val="002D7A2C"/>
    <w:rsid w:val="00324123"/>
    <w:rsid w:val="003268E5"/>
    <w:rsid w:val="0036701D"/>
    <w:rsid w:val="003C3447"/>
    <w:rsid w:val="003D119A"/>
    <w:rsid w:val="004163B2"/>
    <w:rsid w:val="004A540E"/>
    <w:rsid w:val="004D51BC"/>
    <w:rsid w:val="00587CD5"/>
    <w:rsid w:val="0065097B"/>
    <w:rsid w:val="00696ABA"/>
    <w:rsid w:val="007A6290"/>
    <w:rsid w:val="00857459"/>
    <w:rsid w:val="00872CFB"/>
    <w:rsid w:val="009136E0"/>
    <w:rsid w:val="00951F6C"/>
    <w:rsid w:val="009E7094"/>
    <w:rsid w:val="00AE6F5B"/>
    <w:rsid w:val="00AE7BF5"/>
    <w:rsid w:val="00B439D0"/>
    <w:rsid w:val="00BB27C9"/>
    <w:rsid w:val="00C510E9"/>
    <w:rsid w:val="00D91292"/>
    <w:rsid w:val="00E23770"/>
    <w:rsid w:val="012305CE"/>
    <w:rsid w:val="01DC5624"/>
    <w:rsid w:val="023D34F8"/>
    <w:rsid w:val="048E3795"/>
    <w:rsid w:val="04B50DAE"/>
    <w:rsid w:val="06B1727A"/>
    <w:rsid w:val="06C510AB"/>
    <w:rsid w:val="07600DB1"/>
    <w:rsid w:val="08245768"/>
    <w:rsid w:val="08503B02"/>
    <w:rsid w:val="08930F12"/>
    <w:rsid w:val="08B05BA6"/>
    <w:rsid w:val="0AEC39F9"/>
    <w:rsid w:val="0BD4544E"/>
    <w:rsid w:val="0CF12CEE"/>
    <w:rsid w:val="0D3F09CA"/>
    <w:rsid w:val="0E0C489A"/>
    <w:rsid w:val="104A3DAC"/>
    <w:rsid w:val="11F56F16"/>
    <w:rsid w:val="12265F4D"/>
    <w:rsid w:val="13A12C42"/>
    <w:rsid w:val="13A206C4"/>
    <w:rsid w:val="13AE7D5A"/>
    <w:rsid w:val="13C96A30"/>
    <w:rsid w:val="14193B86"/>
    <w:rsid w:val="15E6010D"/>
    <w:rsid w:val="163C5AEE"/>
    <w:rsid w:val="16756285"/>
    <w:rsid w:val="17070465"/>
    <w:rsid w:val="17373603"/>
    <w:rsid w:val="17B976EE"/>
    <w:rsid w:val="1A76158E"/>
    <w:rsid w:val="1C022402"/>
    <w:rsid w:val="1CB727DF"/>
    <w:rsid w:val="1D857BFA"/>
    <w:rsid w:val="1D9C596C"/>
    <w:rsid w:val="1E0616E7"/>
    <w:rsid w:val="216A129A"/>
    <w:rsid w:val="22056993"/>
    <w:rsid w:val="221D7F2E"/>
    <w:rsid w:val="22221625"/>
    <w:rsid w:val="24407A49"/>
    <w:rsid w:val="26FD5932"/>
    <w:rsid w:val="27125E10"/>
    <w:rsid w:val="277A6677"/>
    <w:rsid w:val="28CB5CFA"/>
    <w:rsid w:val="293811B0"/>
    <w:rsid w:val="2B19167E"/>
    <w:rsid w:val="2CB94FE4"/>
    <w:rsid w:val="2CF40298"/>
    <w:rsid w:val="2D106B5B"/>
    <w:rsid w:val="2DD300BC"/>
    <w:rsid w:val="2F727CE6"/>
    <w:rsid w:val="2FD7017E"/>
    <w:rsid w:val="313047C4"/>
    <w:rsid w:val="32344C40"/>
    <w:rsid w:val="32547EBA"/>
    <w:rsid w:val="33F626B2"/>
    <w:rsid w:val="34391BEF"/>
    <w:rsid w:val="34E31A07"/>
    <w:rsid w:val="360755E5"/>
    <w:rsid w:val="380D264C"/>
    <w:rsid w:val="382B0EB3"/>
    <w:rsid w:val="38A5428E"/>
    <w:rsid w:val="38FB4C32"/>
    <w:rsid w:val="39861023"/>
    <w:rsid w:val="3B170879"/>
    <w:rsid w:val="3BA33020"/>
    <w:rsid w:val="3C686BA6"/>
    <w:rsid w:val="3E0F378A"/>
    <w:rsid w:val="411D5225"/>
    <w:rsid w:val="4152413E"/>
    <w:rsid w:val="415E1A4D"/>
    <w:rsid w:val="421826FC"/>
    <w:rsid w:val="430D6CAE"/>
    <w:rsid w:val="437E616A"/>
    <w:rsid w:val="452644FF"/>
    <w:rsid w:val="45F42FCF"/>
    <w:rsid w:val="48CF521D"/>
    <w:rsid w:val="4D6E4C5A"/>
    <w:rsid w:val="4DAC3FBB"/>
    <w:rsid w:val="4FDC7852"/>
    <w:rsid w:val="50B87750"/>
    <w:rsid w:val="519E2E63"/>
    <w:rsid w:val="55186629"/>
    <w:rsid w:val="577053BD"/>
    <w:rsid w:val="589C176E"/>
    <w:rsid w:val="59DE383D"/>
    <w:rsid w:val="5D14403F"/>
    <w:rsid w:val="5E742AD8"/>
    <w:rsid w:val="5FD15884"/>
    <w:rsid w:val="60462F5E"/>
    <w:rsid w:val="60863B5C"/>
    <w:rsid w:val="609F702C"/>
    <w:rsid w:val="61AB47F2"/>
    <w:rsid w:val="62121814"/>
    <w:rsid w:val="63E23618"/>
    <w:rsid w:val="63E975F8"/>
    <w:rsid w:val="656D07F8"/>
    <w:rsid w:val="65840B4F"/>
    <w:rsid w:val="65C73B99"/>
    <w:rsid w:val="6642746F"/>
    <w:rsid w:val="6AD44D57"/>
    <w:rsid w:val="6B460B8C"/>
    <w:rsid w:val="6BD30D17"/>
    <w:rsid w:val="6D975F80"/>
    <w:rsid w:val="6E0D7A9C"/>
    <w:rsid w:val="6E373BED"/>
    <w:rsid w:val="6F260E44"/>
    <w:rsid w:val="6F2D3D6B"/>
    <w:rsid w:val="6FD01098"/>
    <w:rsid w:val="704D2132"/>
    <w:rsid w:val="70F44DB6"/>
    <w:rsid w:val="7324525B"/>
    <w:rsid w:val="73DB080D"/>
    <w:rsid w:val="741E5AB1"/>
    <w:rsid w:val="749C2CC3"/>
    <w:rsid w:val="766E17DB"/>
    <w:rsid w:val="7696711C"/>
    <w:rsid w:val="76E40E5C"/>
    <w:rsid w:val="77177EC8"/>
    <w:rsid w:val="78812509"/>
    <w:rsid w:val="788575F2"/>
    <w:rsid w:val="78E416ED"/>
    <w:rsid w:val="794E5C13"/>
    <w:rsid w:val="79800315"/>
    <w:rsid w:val="79C55D56"/>
    <w:rsid w:val="7B3A0FD4"/>
    <w:rsid w:val="7B9120F6"/>
    <w:rsid w:val="7BD17279"/>
    <w:rsid w:val="7C405DB4"/>
    <w:rsid w:val="7D492462"/>
    <w:rsid w:val="7F375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3" w:lineRule="auto"/>
      <w:outlineLvl w:val="2"/>
    </w:pPr>
    <w:rPr>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Indent"/>
    <w:basedOn w:val="1"/>
    <w:qFormat/>
    <w:uiPriority w:val="0"/>
    <w:pPr>
      <w:ind w:firstLine="178" w:firstLineChars="178"/>
    </w:pPr>
    <w:rPr>
      <w:sz w:val="2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1">
    <w:name w:val="page number"/>
    <w:basedOn w:val="10"/>
    <w:qFormat/>
    <w:uiPriority w:val="0"/>
  </w:style>
  <w:style w:type="character" w:styleId="12">
    <w:name w:val="Hyperlink"/>
    <w:basedOn w:val="10"/>
    <w:qFormat/>
    <w:uiPriority w:val="0"/>
    <w:rPr>
      <w:color w:val="0000FF"/>
      <w:u w:val="single"/>
    </w:rPr>
  </w:style>
  <w:style w:type="paragraph" w:customStyle="1" w:styleId="13">
    <w:name w:val="标题3"/>
    <w:basedOn w:val="1"/>
    <w:next w:val="3"/>
    <w:qFormat/>
    <w:uiPriority w:val="0"/>
    <w:pPr>
      <w:adjustRightInd w:val="0"/>
      <w:spacing w:line="360" w:lineRule="auto"/>
    </w:pPr>
    <w:rPr>
      <w:rFonts w:ascii="Arial" w:hAnsi="Arial" w:eastAsia="黑体"/>
      <w:sz w:val="28"/>
      <w:szCs w:val="28"/>
    </w:rPr>
  </w:style>
  <w:style w:type="paragraph" w:styleId="14">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406</Words>
  <Characters>2316</Characters>
  <Lines>19</Lines>
  <Paragraphs>5</Paragraphs>
  <TotalTime>12</TotalTime>
  <ScaleCrop>false</ScaleCrop>
  <LinksUpToDate>false</LinksUpToDate>
  <CharactersWithSpaces>2717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2013-12-13T14:08:00Z</dcterms:created>
  <dc:creator>oppo</dc:creator>
  <cp:lastModifiedBy>放牛娃</cp:lastModifiedBy>
  <cp:lastPrinted>2019-06-19T04:19:00Z</cp:lastPrinted>
  <dcterms:modified xsi:type="dcterms:W3CDTF">2019-09-18T02:38:40Z</dcterms:modified>
  <dc:title>江阴市实验小学北校区景观工程--清单编制总说明</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