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8"/>
        <w:tblW w:w="88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8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7138" w:type="dxa"/>
            <w:noWrap/>
            <w:vAlign w:val="center"/>
          </w:tcPr>
          <w:p>
            <w:pPr>
              <w:spacing w:line="1100" w:lineRule="exact"/>
              <w:jc w:val="distribute"/>
              <w:rPr>
                <w:rFonts w:eastAsia="方正小标宋_GBK"/>
                <w:b/>
                <w:color w:val="FF0000"/>
                <w:w w:val="75"/>
                <w:sz w:val="98"/>
                <w:szCs w:val="98"/>
              </w:rPr>
            </w:pPr>
            <w:r>
              <w:rPr>
                <w:rFonts w:hint="eastAsia" w:eastAsia="方正小标宋_GBK"/>
                <w:b/>
                <w:color w:val="FF0000"/>
                <w:w w:val="75"/>
                <w:sz w:val="98"/>
                <w:szCs w:val="98"/>
              </w:rPr>
              <w:t>江阴市财政局</w:t>
            </w:r>
          </w:p>
        </w:tc>
        <w:tc>
          <w:tcPr>
            <w:tcW w:w="1675" w:type="dxa"/>
            <w:vMerge w:val="restart"/>
            <w:noWrap/>
            <w:vAlign w:val="center"/>
          </w:tcPr>
          <w:p>
            <w:pPr>
              <w:spacing w:line="1100" w:lineRule="exact"/>
              <w:jc w:val="center"/>
              <w:rPr>
                <w:rFonts w:eastAsia="方正小标宋_GBK"/>
                <w:b/>
                <w:color w:val="FF0000"/>
                <w:w w:val="68"/>
                <w:sz w:val="104"/>
                <w:szCs w:val="104"/>
              </w:rPr>
            </w:pPr>
            <w:r>
              <w:rPr>
                <w:rFonts w:hint="eastAsia" w:eastAsia="方正小标宋_GBK"/>
                <w:b/>
                <w:color w:val="FF0000"/>
                <w:w w:val="68"/>
                <w:sz w:val="104"/>
                <w:szCs w:val="104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7138" w:type="dxa"/>
            <w:noWrap/>
            <w:vAlign w:val="center"/>
          </w:tcPr>
          <w:p>
            <w:pPr>
              <w:spacing w:line="1100" w:lineRule="exact"/>
              <w:jc w:val="distribute"/>
              <w:rPr>
                <w:rFonts w:eastAsia="方正小标宋_GBK"/>
                <w:b/>
                <w:color w:val="FF0000"/>
                <w:w w:val="70"/>
                <w:sz w:val="98"/>
                <w:szCs w:val="98"/>
              </w:rPr>
            </w:pPr>
            <w:r>
              <w:rPr>
                <w:rFonts w:hint="eastAsia" w:eastAsia="方正小标宋_GBK"/>
                <w:b/>
                <w:color w:val="FF0000"/>
                <w:w w:val="70"/>
                <w:sz w:val="98"/>
                <w:szCs w:val="98"/>
              </w:rPr>
              <w:t>江阴市农业农村局</w:t>
            </w:r>
          </w:p>
        </w:tc>
        <w:tc>
          <w:tcPr>
            <w:tcW w:w="1675" w:type="dxa"/>
            <w:vMerge w:val="continue"/>
            <w:noWrap/>
            <w:vAlign w:val="center"/>
          </w:tcPr>
          <w:p>
            <w:pPr>
              <w:spacing w:line="1100" w:lineRule="exact"/>
              <w:jc w:val="center"/>
              <w:rPr>
                <w:rFonts w:eastAsia="方正小标宋_GBK"/>
                <w:color w:val="FF0000"/>
                <w:sz w:val="80"/>
                <w:szCs w:val="80"/>
              </w:rPr>
            </w:pPr>
          </w:p>
        </w:tc>
      </w:tr>
    </w:tbl>
    <w:p>
      <w:pPr>
        <w:jc w:val="center"/>
        <w:rPr>
          <w:rFonts w:eastAsia="方正仿宋_GBK"/>
          <w:b/>
          <w:color w:val="000000"/>
          <w:szCs w:val="32"/>
        </w:rPr>
      </w:pPr>
    </w:p>
    <w:p>
      <w:pPr>
        <w:jc w:val="center"/>
        <w:rPr>
          <w:rFonts w:eastAsia="方正仿宋_GBK"/>
          <w:b/>
          <w:color w:val="000000"/>
          <w:szCs w:val="32"/>
        </w:rPr>
      </w:pPr>
    </w:p>
    <w:p>
      <w:pPr>
        <w:spacing w:afterLines="20" w:line="240" w:lineRule="atLeast"/>
        <w:jc w:val="center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澄财规〔2019〕1号</w:t>
      </w:r>
    </w:p>
    <w:p>
      <w:r>
        <w:rPr>
          <w:b/>
          <w:color w:val="000000"/>
          <w:szCs w:val="32"/>
        </w:rPr>
        <w:pict>
          <v:line id="_x0000_s1026" o:spid="_x0000_s1026" o:spt="20" style="position:absolute;left:0pt;margin-left:0pt;margin-top:1.4pt;height:0pt;width:442.2pt;z-index:251658240;mso-width-relative:page;mso-height-relative:page;" stroked="t" coordsize="21600,21600" o:gfxdata="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9hlr1wAAAAkBAAAPAAAA&#10;AAAAAAEAIAAAACIAAABkcnMvZG93bnJldi54bWxQSwECFAAUAAAACACHTuJAP+rCTd0BAACXAwAA&#10;DgAAAAAAAAABACAAAAAmAQAAZHJzL2Uyb0RvYy54bWxQSwUGAAAAAAYABgBZAQAAdQUAAAAA&#10;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0" w:lineRule="atLeast"/>
        <w:jc w:val="center"/>
        <w:rPr>
          <w:rFonts w:eastAsia="方正小标宋_GBK" w:cs="华文中宋"/>
          <w:sz w:val="44"/>
          <w:szCs w:val="44"/>
        </w:rPr>
      </w:pPr>
    </w:p>
    <w:p>
      <w:pPr>
        <w:spacing w:line="0" w:lineRule="atLeast"/>
        <w:jc w:val="center"/>
        <w:rPr>
          <w:rFonts w:eastAsia="方正小标宋_GBK" w:cs="华文中宋"/>
          <w:sz w:val="44"/>
          <w:szCs w:val="44"/>
        </w:rPr>
      </w:pPr>
      <w:r>
        <w:rPr>
          <w:rFonts w:hint="eastAsia" w:eastAsia="方正小标宋_GBK" w:cs="华文中宋"/>
          <w:sz w:val="44"/>
          <w:szCs w:val="44"/>
        </w:rPr>
        <w:t>关于印发《江阴市三务公开“户户通”</w:t>
      </w:r>
    </w:p>
    <w:p>
      <w:pPr>
        <w:spacing w:line="0" w:lineRule="atLeast"/>
        <w:jc w:val="center"/>
        <w:rPr>
          <w:rFonts w:eastAsia="方正小标宋_GBK" w:cs="华文中宋"/>
          <w:sz w:val="44"/>
          <w:szCs w:val="44"/>
        </w:rPr>
      </w:pPr>
      <w:r>
        <w:rPr>
          <w:rFonts w:hint="eastAsia" w:eastAsia="方正小标宋_GBK" w:cs="华文中宋"/>
          <w:sz w:val="44"/>
          <w:szCs w:val="44"/>
        </w:rPr>
        <w:t>专项补助资金管理办法》的通知</w:t>
      </w:r>
    </w:p>
    <w:p>
      <w:pPr>
        <w:ind w:firstLine="632" w:firstLineChars="200"/>
        <w:rPr>
          <w:rFonts w:eastAsia="方正仿宋_GBK" w:cs="华文中宋"/>
          <w:szCs w:val="32"/>
        </w:rPr>
      </w:pPr>
    </w:p>
    <w:p>
      <w:pPr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市有关单位：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为加强政府专项资金管理，提高资金使用效益，结合我市实际，我们制订了《江阴市三务公开“户户通”专项补助资金管理办法》。现印发给你们，请遵照执行。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（此页无正文）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111760</wp:posOffset>
            </wp:positionV>
            <wp:extent cx="1512570" cy="1516380"/>
            <wp:effectExtent l="19050" t="0" r="0" b="0"/>
            <wp:wrapNone/>
            <wp:docPr id="4" name="图片 2" descr="V:\2019年材料\13楼 农业农村局\财政局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V:\2019年材料\13楼 农业农村局\财政局红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104140</wp:posOffset>
            </wp:positionV>
            <wp:extent cx="1504950" cy="1516380"/>
            <wp:effectExtent l="19050" t="0" r="0" b="0"/>
            <wp:wrapNone/>
            <wp:docPr id="3" name="图片 1" descr="V:\2019年材料\13楼 农业农村局\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V:\2019年材料\13楼 农业农村局\红章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784" w:firstLineChars="248"/>
        <w:jc w:val="lef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江 阴 市 财 政 局          江阴市农业农村局</w:t>
      </w:r>
    </w:p>
    <w:p>
      <w:pPr>
        <w:ind w:right="1264" w:rightChars="400" w:firstLine="632" w:firstLineChars="200"/>
        <w:jc w:val="righ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2019年3月12日</w:t>
      </w:r>
    </w:p>
    <w:p>
      <w:pPr>
        <w:ind w:right="1264" w:rightChars="400" w:firstLine="632" w:firstLineChars="200"/>
        <w:jc w:val="right"/>
        <w:rPr>
          <w:rFonts w:eastAsia="方正仿宋_GBK"/>
          <w:color w:val="000000"/>
          <w:szCs w:val="32"/>
        </w:rPr>
      </w:pPr>
    </w:p>
    <w:p>
      <w:pPr>
        <w:ind w:right="1264" w:rightChars="400" w:firstLine="632" w:firstLineChars="200"/>
        <w:jc w:val="right"/>
        <w:rPr>
          <w:rFonts w:eastAsia="方正仿宋_GBK"/>
          <w:color w:val="000000"/>
        </w:rPr>
      </w:pPr>
    </w:p>
    <w:p>
      <w:pPr>
        <w:jc w:val="left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br w:type="page"/>
      </w:r>
    </w:p>
    <w:p>
      <w:pPr>
        <w:spacing w:line="0" w:lineRule="atLeast"/>
        <w:jc w:val="center"/>
        <w:rPr>
          <w:rFonts w:eastAsia="方正小标宋_GBK" w:cs="华文中宋"/>
          <w:color w:val="000000"/>
          <w:sz w:val="44"/>
          <w:szCs w:val="44"/>
        </w:rPr>
      </w:pPr>
      <w:r>
        <w:rPr>
          <w:rFonts w:hint="eastAsia" w:eastAsia="方正小标宋_GBK" w:cs="华文中宋"/>
          <w:color w:val="000000"/>
          <w:sz w:val="44"/>
          <w:szCs w:val="44"/>
        </w:rPr>
        <w:t>江阴市三务公开“户户通”</w:t>
      </w:r>
    </w:p>
    <w:p>
      <w:pPr>
        <w:spacing w:line="0" w:lineRule="atLeast"/>
        <w:jc w:val="center"/>
        <w:rPr>
          <w:rFonts w:eastAsia="方正小标宋_GBK" w:cs="华文中宋"/>
          <w:color w:val="000000"/>
          <w:sz w:val="44"/>
          <w:szCs w:val="44"/>
        </w:rPr>
      </w:pPr>
      <w:r>
        <w:rPr>
          <w:rFonts w:hint="eastAsia" w:eastAsia="方正小标宋_GBK" w:cs="华文中宋"/>
          <w:color w:val="000000"/>
          <w:sz w:val="44"/>
          <w:szCs w:val="44"/>
        </w:rPr>
        <w:t>专项补助资金管理办法</w:t>
      </w:r>
    </w:p>
    <w:p>
      <w:pPr>
        <w:ind w:firstLine="632" w:firstLineChars="200"/>
        <w:rPr>
          <w:rFonts w:eastAsia="方正黑体_GBK"/>
          <w:bCs/>
        </w:rPr>
      </w:pPr>
    </w:p>
    <w:p>
      <w:pPr>
        <w:spacing w:beforeLines="50" w:afterLines="50"/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第一章  总  则</w:t>
      </w:r>
    </w:p>
    <w:p>
      <w:pPr>
        <w:ind w:firstLine="632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bCs/>
          <w:szCs w:val="32"/>
        </w:rPr>
        <w:t>第一条  目的依据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为规范和加强市级三务公开“户户通”专项补助资金的管理，提高资金的使用效率，根据《中华人民共和国预算法》《江阴市本级政府专项资金管理办法》（澄政发〔2018〕78号）等法律、法规和有关规定，根据《中共江阴市委关于进一步加强和完善全市村级管理的指导意见》（澄委发〔2018〕30号）精神，制定本办法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第二条  资金安排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级三务公开“户户通”专项补助资金（以下简称专项资金）是根据《关于推进三务公开“户户通”建设的通知》（澄户户通办〔2018〕1号）文件，对按时完成三务公开“户户通”上线运行且三务公开内容全面的村给予的专项资金。专项资金安排720万元，执行期限为2019年1月1日至2019年12月31日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第三条  使用原则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专项资金管理遵循公开透明、规范管理、绩效评价、跟踪监督的原则。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第四条  职责分工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市财政局负责会同市农业农村局制定专项资金管理办法；专项资金的年度预算安排；会同市农业农村局确定资金使用计划并下达资金；对专项资金使用情况进行监督和绩效管理。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市农业农村局负责会同</w:t>
      </w:r>
      <w:r>
        <w:rPr>
          <w:rFonts w:hint="eastAsia" w:eastAsia="方正仿宋_GBK"/>
          <w:color w:val="000000"/>
          <w:szCs w:val="32"/>
          <w:lang w:eastAsia="zh-CN"/>
        </w:rPr>
        <w:t>市</w:t>
      </w:r>
      <w:r>
        <w:rPr>
          <w:rFonts w:hint="eastAsia" w:eastAsia="方正仿宋_GBK"/>
          <w:color w:val="000000"/>
          <w:szCs w:val="32"/>
        </w:rPr>
        <w:t>财政局制定专项资金管理办法；严格执行专项资金年度预算，按照专项资金使用需求，及时申请拨付资金；负责对专项资金实施监督管理。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各镇（街</w:t>
      </w:r>
      <w:r>
        <w:rPr>
          <w:rFonts w:hint="eastAsia" w:eastAsia="方正仿宋_GBK"/>
          <w:color w:val="000000"/>
          <w:szCs w:val="32"/>
          <w:lang w:eastAsia="zh-CN"/>
        </w:rPr>
        <w:t>道</w:t>
      </w:r>
      <w:bookmarkStart w:id="0" w:name="_GoBack"/>
      <w:bookmarkEnd w:id="0"/>
      <w:r>
        <w:rPr>
          <w:rFonts w:hint="eastAsia" w:eastAsia="方正仿宋_GBK"/>
          <w:color w:val="000000"/>
          <w:szCs w:val="32"/>
        </w:rPr>
        <w:t>）农经主管部门负责组织项目申报，对申报资料进行审核，项目实施监督和项目初验。</w:t>
      </w:r>
    </w:p>
    <w:p>
      <w:pPr>
        <w:spacing w:beforeLines="50" w:afterLines="50"/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第二章  支出对象和标准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第五条  专项资金支出的对象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专项资金支出的对象：上线运行“户户通”且“户户通”中党务、村务、财务内容齐全完善的村。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第六条  支出标准和方式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“户户通”专项补助资金按每村3万元核定，实际拨付时“户户通”上线运行村数和上线内容情况各占总额的50%，即按时完成“户户通”上线的村拨付专项资金的50%（1.5万），对“户户通”公开内容全面的村再拨付50%（1.5万）。党务包括政治建设、思想建设、组织建设、作风建设、纪律建设、三重一大、其他事项共7项。村务包括村（居）经济和社会事业发展规划、村规民约（居民公约）及各类规约、村（居）务发生事项、村（居）民（代表）会议及其实施、村（居）干部、村（居）务监督委员会履职情况、其他事项共7项。财务包括财务报表、资金、资产、资源、工程项目、收支情况共6项，合计20项，具体评分标准见附表2。专项资金由市财政全部承担，一次性奖补到位，无后续补助。</w:t>
      </w:r>
    </w:p>
    <w:p>
      <w:pPr>
        <w:spacing w:beforeLines="50" w:afterLines="50"/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第三章  资金申报和项目验收</w:t>
      </w:r>
    </w:p>
    <w:p>
      <w:pPr>
        <w:ind w:firstLine="632" w:firstLineChars="200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bCs/>
          <w:szCs w:val="32"/>
        </w:rPr>
        <w:t>第七条  申报指南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以镇（街道）为单位将镇（街道）上线运行“户户通”的相关材料报送市农业农村局。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申报单位应提交以下材料：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1．“户户通”完成情况总结；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2．“户户通”完成情况统计表；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3．</w:t>
      </w:r>
      <w:r>
        <w:rPr>
          <w:rFonts w:hint="eastAsia" w:ascii="方正仿宋_GBK" w:eastAsia="方正仿宋_GBK"/>
          <w:color w:val="000000"/>
          <w:szCs w:val="32"/>
        </w:rPr>
        <w:t>“户户通”上线运行照片（各村党务、村务各一张；财务1至3张，财务照片需包括记账凭证及资产资源）；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4</w:t>
      </w:r>
      <w:r>
        <w:rPr>
          <w:rFonts w:hint="eastAsia" w:ascii="方正仿宋_GBK" w:eastAsia="方正仿宋_GBK"/>
          <w:color w:val="000000"/>
          <w:szCs w:val="32"/>
        </w:rPr>
        <w:t>．“户户通”项目建设合同</w:t>
      </w:r>
      <w:r>
        <w:rPr>
          <w:rFonts w:hint="eastAsia" w:eastAsia="方正仿宋_GBK"/>
          <w:color w:val="000000"/>
          <w:szCs w:val="32"/>
        </w:rPr>
        <w:t>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第八条  项目验收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镇（街道）首先对村级提交资料进行审核验收，根据验收情况对全镇（街道）三务公开“户户通”实施情况进行自评，填写</w:t>
      </w:r>
      <w:r>
        <w:rPr>
          <w:rFonts w:hint="eastAsia" w:ascii="方正仿宋_GBK" w:eastAsia="方正仿宋_GBK"/>
          <w:color w:val="000000"/>
          <w:szCs w:val="32"/>
        </w:rPr>
        <w:t>村“户户通”完成情况验收</w:t>
      </w:r>
      <w:r>
        <w:rPr>
          <w:rFonts w:hint="eastAsia" w:eastAsia="方正仿宋_GBK"/>
          <w:color w:val="000000"/>
          <w:szCs w:val="32"/>
        </w:rPr>
        <w:t>表（附表2）。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市农业农村局牵头，会同市财政局根据镇（街道）提供的上线总村数、上线内容、“户户通”建设合同等相关材料，对各镇（街道）上线情况进行检查验收。“户户通”上线情况将于2019年下半年进行现场验收。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第九条  审核下拨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由市农业农村局会同市财政局对上线村数及上线内容情况进行复核，确定实际补助金额，下达资金指标到镇（街道）。</w:t>
      </w:r>
    </w:p>
    <w:p>
      <w:pPr>
        <w:spacing w:beforeLines="50" w:afterLines="50"/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第四章  监督管理和绩效评价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第十条  绩效评价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市农业农村局负责对本年度所支持项目进行资金绩效自评，绩效评价和监督检查结果作为年度资金安排的重要依据，并将绩效评价结果报送市财政局。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第十一条  监督检查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color w:val="000000"/>
          <w:szCs w:val="32"/>
        </w:rPr>
        <w:t>各镇（街道）应加强“户户通”款项支付进度的审核把关，原则上应采取分期支付的方式向服务运营商支付相应款项。同时，各镇（街道）要加强对“户户通”运行情况的长效管理，列入村级年度工作考核，确保“户户通”公开及时、准确、全面，切实发挥作用。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市财政局、市农业农村局对资金到位情况进行核实，各镇（街道）补助资金需专款专用，不得以任何方式截留、挪用。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第十二条  责任追究</w:t>
      </w:r>
    </w:p>
    <w:p>
      <w:pPr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市农业农村局、市财政局对专项资金的使用及管理情况进行检查和监督。对虚报、套取、私分、挪用各种专项资金等行为的单位和个人，一经发现按有关规定严肃处理，并追究相关部门和单位的责任。</w:t>
      </w:r>
    </w:p>
    <w:p>
      <w:pPr>
        <w:spacing w:beforeLines="50" w:afterLines="50"/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t>第五章  附  则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第十三条  应用解释</w:t>
      </w:r>
    </w:p>
    <w:p>
      <w:pPr>
        <w:pStyle w:val="6"/>
        <w:widowControl w:val="0"/>
        <w:spacing w:before="0" w:beforeAutospacing="0" w:after="0" w:afterAutospacing="0"/>
        <w:ind w:firstLine="632" w:firstLineChars="200"/>
        <w:rPr>
          <w:rFonts w:ascii="Times New Roman" w:hAnsi="Times New Roman" w:eastAsia="方正仿宋_GBK"/>
          <w:kern w:val="2"/>
        </w:rPr>
      </w:pPr>
      <w:r>
        <w:rPr>
          <w:rFonts w:hint="eastAsia" w:ascii="Times New Roman" w:hAnsi="Times New Roman" w:eastAsia="方正仿宋_GBK"/>
          <w:kern w:val="2"/>
        </w:rPr>
        <w:t>本办法由市财政局、市农业农村局负责解释。</w:t>
      </w:r>
    </w:p>
    <w:p>
      <w:pPr>
        <w:ind w:firstLine="632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第十四条  实施日期</w:t>
      </w:r>
    </w:p>
    <w:p>
      <w:pPr>
        <w:pStyle w:val="6"/>
        <w:widowControl w:val="0"/>
        <w:spacing w:before="0" w:beforeAutospacing="0" w:after="0" w:afterAutospacing="0"/>
        <w:ind w:left="632" w:leftChars="200"/>
        <w:rPr>
          <w:rFonts w:ascii="Times New Roman" w:hAnsi="Times New Roman" w:eastAsia="方正仿宋_GBK"/>
          <w:kern w:val="2"/>
        </w:rPr>
      </w:pPr>
      <w:r>
        <w:rPr>
          <w:rFonts w:hint="eastAsia" w:ascii="Times New Roman" w:hAnsi="Times New Roman" w:eastAsia="方正仿宋_GBK"/>
          <w:kern w:val="2"/>
        </w:rPr>
        <w:t>本办法自2019年4月12日起施行。</w:t>
      </w:r>
    </w:p>
    <w:p>
      <w:pPr>
        <w:ind w:firstLine="632" w:firstLineChars="200"/>
        <w:rPr>
          <w:rFonts w:eastAsia="方正仿宋_GBK"/>
          <w:color w:val="000000"/>
          <w:szCs w:val="32"/>
        </w:rPr>
      </w:pPr>
    </w:p>
    <w:p>
      <w:pPr>
        <w:ind w:firstLine="632" w:firstLineChars="20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附件：1．“户户通”完成情况统计表</w:t>
      </w:r>
    </w:p>
    <w:p>
      <w:pPr>
        <w:ind w:firstLine="1608" w:firstLineChars="509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2．村“户户通”完成情况验收表</w:t>
      </w:r>
    </w:p>
    <w:p>
      <w:pPr>
        <w:ind w:firstLine="632" w:firstLineChars="200"/>
        <w:rPr>
          <w:rFonts w:eastAsia="方正仿宋_GBK"/>
          <w:color w:val="000000"/>
        </w:rPr>
      </w:pPr>
    </w:p>
    <w:p>
      <w:pPr>
        <w:spacing w:line="560" w:lineRule="exact"/>
        <w:ind w:firstLine="632" w:firstLineChars="200"/>
        <w:rPr>
          <w:rFonts w:eastAsia="方正仿宋_GBK"/>
          <w:color w:val="000000"/>
        </w:rPr>
      </w:pPr>
    </w:p>
    <w:p>
      <w:pPr>
        <w:spacing w:line="500" w:lineRule="exact"/>
        <w:jc w:val="left"/>
        <w:rPr>
          <w:rFonts w:eastAsia="华文中宋" w:cs="华文中宋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</w:p>
    <w:p>
      <w:pPr>
        <w:rPr>
          <w:rFonts w:eastAsia="方正黑体_GBK" w:cs="宋体"/>
          <w:color w:val="000000"/>
          <w:szCs w:val="32"/>
        </w:rPr>
      </w:pPr>
      <w:r>
        <w:rPr>
          <w:rFonts w:hint="eastAsia" w:eastAsia="方正黑体_GBK" w:cs="宋体"/>
          <w:color w:val="000000"/>
          <w:szCs w:val="32"/>
        </w:rPr>
        <w:t>附件1</w:t>
      </w:r>
    </w:p>
    <w:p>
      <w:pPr>
        <w:jc w:val="center"/>
        <w:rPr>
          <w:rFonts w:eastAsia="方正小标宋_GBK" w:cs="华文中宋"/>
          <w:sz w:val="44"/>
          <w:szCs w:val="44"/>
        </w:rPr>
      </w:pPr>
      <w:r>
        <w:rPr>
          <w:rFonts w:hint="eastAsia" w:eastAsia="方正小标宋_GBK" w:cs="华文中宋"/>
          <w:sz w:val="44"/>
          <w:szCs w:val="44"/>
        </w:rPr>
        <w:t>“户户通”完成情况统计表</w:t>
      </w:r>
    </w:p>
    <w:p>
      <w:pPr>
        <w:ind w:left="0" w:leftChars="-44" w:hanging="140" w:hangingChars="50"/>
        <w:rPr>
          <w:rFonts w:eastAsia="方正楷体_GBK" w:cs="仿宋_GB2312"/>
          <w:sz w:val="28"/>
          <w:szCs w:val="28"/>
        </w:rPr>
      </w:pPr>
      <w:r>
        <w:rPr>
          <w:rFonts w:hint="eastAsia" w:eastAsia="方正楷体_GBK" w:cs="仿宋_GB2312"/>
          <w:sz w:val="28"/>
          <w:szCs w:val="28"/>
          <w:u w:val="single"/>
        </w:rPr>
        <w:t xml:space="preserve">                 </w:t>
      </w:r>
      <w:r>
        <w:rPr>
          <w:rFonts w:hint="eastAsia" w:eastAsia="方正楷体_GBK" w:cs="仿宋_GB2312"/>
          <w:sz w:val="28"/>
          <w:szCs w:val="28"/>
        </w:rPr>
        <w:t xml:space="preserve"> 镇（街道）</w:t>
      </w:r>
    </w:p>
    <w:tbl>
      <w:tblPr>
        <w:tblStyle w:val="7"/>
        <w:tblW w:w="14764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69"/>
        <w:gridCol w:w="675"/>
        <w:gridCol w:w="645"/>
        <w:gridCol w:w="645"/>
        <w:gridCol w:w="705"/>
        <w:gridCol w:w="675"/>
        <w:gridCol w:w="630"/>
        <w:gridCol w:w="675"/>
        <w:gridCol w:w="1078"/>
        <w:gridCol w:w="1005"/>
        <w:gridCol w:w="1080"/>
        <w:gridCol w:w="1380"/>
        <w:gridCol w:w="821"/>
        <w:gridCol w:w="1054"/>
        <w:gridCol w:w="716"/>
        <w:gridCol w:w="624"/>
        <w:gridCol w:w="335"/>
        <w:gridCol w:w="310"/>
        <w:gridCol w:w="334"/>
        <w:gridCol w:w="452"/>
        <w:gridCol w:w="456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650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党    务</w:t>
            </w:r>
          </w:p>
        </w:tc>
        <w:tc>
          <w:tcPr>
            <w:tcW w:w="7134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       务</w:t>
            </w:r>
          </w:p>
        </w:tc>
        <w:tc>
          <w:tcPr>
            <w:tcW w:w="2511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财    务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政治</w:t>
            </w:r>
          </w:p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建设</w:t>
            </w:r>
          </w:p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（条）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思想建设（条）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组织建设（条）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作风建设（条）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纪律建设（条）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三重一大（条）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其他事项（条）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村（居）</w:t>
            </w:r>
          </w:p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经济和社会事业发展</w:t>
            </w:r>
          </w:p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规划（条）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村规民约（居民公约）及各类规约（条）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村（居）务发生事项（条）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村（居）民</w:t>
            </w:r>
          </w:p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（代表）会议及其实施（条）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村（居）干部（条）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村（居）务监督委员会履职情况（条）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其他事项（条）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财务报表（条）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资金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资产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资源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工程项目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黑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黑体_GBK" w:cs="宋体"/>
                <w:color w:val="000000"/>
                <w:sz w:val="20"/>
                <w:szCs w:val="20"/>
              </w:rPr>
              <w:t>收支情况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  <w:r>
              <w:rPr>
                <w:rFonts w:hint="eastAsia" w:eastAsia="方正楷体_GBK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方正楷体_GBK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2" w:leftChars="-88" w:hanging="283" w:hangingChars="118"/>
        <w:rPr>
          <w:rFonts w:eastAsia="方正楷体_GBK" w:cs="仿宋_GB2312"/>
          <w:sz w:val="24"/>
        </w:rPr>
      </w:pPr>
      <w:r>
        <w:rPr>
          <w:rFonts w:hint="eastAsia" w:eastAsia="方正楷体_GBK" w:cs="仿宋_GB2312"/>
          <w:sz w:val="24"/>
        </w:rPr>
        <w:t>备注：党务、村务及财务报表需填写录入条数；资金、资产、资源、工程项目、收支情况如已录入相应数据则在表内打勾。</w:t>
      </w:r>
    </w:p>
    <w:p>
      <w:pPr>
        <w:jc w:val="left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br w:type="page"/>
      </w:r>
    </w:p>
    <w:p>
      <w:pPr>
        <w:rPr>
          <w:rFonts w:eastAsia="方正黑体_GBK"/>
          <w:color w:val="000000"/>
        </w:rPr>
      </w:pPr>
      <w:r>
        <w:rPr>
          <w:rFonts w:hint="eastAsia" w:eastAsia="方正黑体_GBK" w:cs="宋体"/>
          <w:color w:val="000000"/>
          <w:szCs w:val="32"/>
        </w:rPr>
        <w:t>附件2</w:t>
      </w:r>
    </w:p>
    <w:p>
      <w:pPr>
        <w:jc w:val="center"/>
        <w:rPr>
          <w:rFonts w:eastAsia="方正小标宋_GBK" w:cs="华文中宋"/>
          <w:sz w:val="44"/>
          <w:szCs w:val="44"/>
        </w:rPr>
      </w:pPr>
      <w:r>
        <w:rPr>
          <w:rFonts w:hint="eastAsia" w:eastAsia="方正小标宋_GBK" w:cs="华文中宋"/>
          <w:sz w:val="44"/>
          <w:szCs w:val="44"/>
        </w:rPr>
        <w:t>村“户户通”完成情况验收表</w:t>
      </w:r>
    </w:p>
    <w:p>
      <w:pPr>
        <w:rPr>
          <w:rFonts w:eastAsia="方正楷体_GBK" w:cs="仿宋_GB2312"/>
          <w:sz w:val="28"/>
          <w:szCs w:val="28"/>
        </w:rPr>
      </w:pPr>
      <w:r>
        <w:rPr>
          <w:rFonts w:hint="eastAsia" w:eastAsia="方正楷体_GBK" w:cs="仿宋_GB2312"/>
          <w:sz w:val="28"/>
          <w:szCs w:val="28"/>
          <w:u w:val="single"/>
        </w:rPr>
        <w:t xml:space="preserve">                 </w:t>
      </w:r>
      <w:r>
        <w:rPr>
          <w:rFonts w:hint="eastAsia" w:eastAsia="方正楷体_GBK" w:cs="仿宋_GB2312"/>
          <w:sz w:val="28"/>
          <w:szCs w:val="28"/>
        </w:rPr>
        <w:t xml:space="preserve"> 镇（街道）</w:t>
      </w:r>
      <w:r>
        <w:rPr>
          <w:rFonts w:hint="eastAsia" w:eastAsia="方正楷体_GBK" w:cs="仿宋_GB2312"/>
          <w:sz w:val="28"/>
          <w:szCs w:val="28"/>
          <w:u w:val="single"/>
        </w:rPr>
        <w:t xml:space="preserve">              </w:t>
      </w:r>
      <w:r>
        <w:rPr>
          <w:rFonts w:hint="eastAsia" w:eastAsia="方正楷体_GBK" w:cs="仿宋_GB2312"/>
          <w:sz w:val="28"/>
          <w:szCs w:val="28"/>
        </w:rPr>
        <w:t>村</w:t>
      </w:r>
    </w:p>
    <w:tbl>
      <w:tblPr>
        <w:tblStyle w:val="8"/>
        <w:tblW w:w="144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4536"/>
        <w:gridCol w:w="1152"/>
        <w:gridCol w:w="4730"/>
        <w:gridCol w:w="1036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39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黑体_GBK" w:cs="宋体"/>
                <w:color w:val="000000"/>
                <w:sz w:val="24"/>
              </w:rPr>
            </w:pPr>
            <w:r>
              <w:rPr>
                <w:rFonts w:hint="eastAsia" w:eastAsia="方正黑体_GBK" w:cs="宋体"/>
                <w:color w:val="000000"/>
                <w:sz w:val="24"/>
              </w:rPr>
              <w:t>内      容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黑体_GBK" w:cs="宋体"/>
                <w:color w:val="000000"/>
                <w:sz w:val="24"/>
              </w:rPr>
            </w:pPr>
            <w:r>
              <w:rPr>
                <w:rFonts w:hint="eastAsia" w:eastAsia="方正黑体_GBK" w:cs="宋体"/>
                <w:color w:val="000000"/>
                <w:sz w:val="24"/>
              </w:rPr>
              <w:t>分值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黑体_GBK" w:cs="宋体"/>
                <w:color w:val="000000"/>
                <w:sz w:val="24"/>
              </w:rPr>
            </w:pPr>
            <w:r>
              <w:rPr>
                <w:rFonts w:hint="eastAsia" w:eastAsia="方正黑体_GBK" w:cs="宋体"/>
                <w:color w:val="000000"/>
                <w:sz w:val="24"/>
              </w:rPr>
              <w:t>评分标准</w:t>
            </w:r>
          </w:p>
        </w:tc>
        <w:tc>
          <w:tcPr>
            <w:tcW w:w="10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黑体_GBK" w:cs="宋体"/>
                <w:color w:val="000000"/>
                <w:sz w:val="24"/>
              </w:rPr>
            </w:pPr>
            <w:r>
              <w:rPr>
                <w:rFonts w:hint="eastAsia" w:eastAsia="方正黑体_GBK" w:cs="宋体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黑体_GBK" w:cs="宋体"/>
                <w:color w:val="000000"/>
                <w:sz w:val="24"/>
              </w:rPr>
            </w:pPr>
            <w:r>
              <w:rPr>
                <w:rFonts w:hint="eastAsia" w:eastAsia="方正黑体_GBK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上线情况</w:t>
            </w: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是否上线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50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上线的满分，未上线不得分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党务</w:t>
            </w: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政治建设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思想建设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组织建设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作风建设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纪律建设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三重一大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其他事项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村务</w:t>
            </w: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村（居）经济和社会事业发展规划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村规民约（居民公约）及各类规约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村（居）务发生事项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村（居）民（代表）会议及其实施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村（居）干部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村（居）务监督委员会履职情况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其他事项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财务</w:t>
            </w: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财务报表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五套财务报表内容齐全完善得满分，缺一项扣0.05分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资金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资产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资源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如无资源，说明情况，根据实际情况得分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工程项目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如无工程项目，说明情况，根据实际情况得分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收支情况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2.5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内容齐全完善得满分，无内容不得分</w:t>
            </w: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  <w:r>
              <w:rPr>
                <w:rFonts w:hint="eastAsia" w:eastAsia="方正楷体_GBK" w:cs="宋体"/>
                <w:color w:val="000000"/>
                <w:sz w:val="24"/>
              </w:rPr>
              <w:t>100</w:t>
            </w:r>
          </w:p>
        </w:tc>
        <w:tc>
          <w:tcPr>
            <w:tcW w:w="4730" w:type="dxa"/>
            <w:vAlign w:val="center"/>
          </w:tcPr>
          <w:p>
            <w:pPr>
              <w:spacing w:line="280" w:lineRule="exact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03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280" w:lineRule="exact"/>
              <w:jc w:val="center"/>
              <w:textAlignment w:val="center"/>
              <w:rPr>
                <w:rFonts w:eastAsia="方正楷体_GBK" w:cs="宋体"/>
                <w:color w:val="000000"/>
                <w:sz w:val="24"/>
              </w:rPr>
            </w:pPr>
          </w:p>
        </w:tc>
      </w:tr>
    </w:tbl>
    <w:p>
      <w:pPr>
        <w:jc w:val="left"/>
        <w:textAlignment w:val="center"/>
        <w:rPr>
          <w:rFonts w:eastAsia="宋体" w:cs="宋体"/>
          <w:color w:val="000000"/>
          <w:sz w:val="24"/>
        </w:rPr>
        <w:sectPr>
          <w:pgSz w:w="16838" w:h="11906" w:orient="landscape"/>
          <w:pgMar w:top="1418" w:right="1418" w:bottom="1418" w:left="1418" w:header="851" w:footer="1134" w:gutter="0"/>
          <w:cols w:space="425" w:num="1"/>
          <w:docGrid w:type="linesAndChars" w:linePitch="435" w:charSpace="0"/>
        </w:sectPr>
      </w:pPr>
    </w:p>
    <w:p>
      <w:pPr>
        <w:widowControl/>
        <w:jc w:val="left"/>
        <w:rPr>
          <w:rFonts w:eastAsia="宋体" w:cs="宋体"/>
          <w:color w:val="000000"/>
          <w:sz w:val="24"/>
        </w:rPr>
      </w:pPr>
      <w:r>
        <w:rPr>
          <w:rFonts w:eastAsia="宋体" w:cs="宋体"/>
          <w:color w:val="000000"/>
          <w:sz w:val="24"/>
        </w:rPr>
        <w:br w:type="page"/>
      </w: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jc w:val="left"/>
        <w:textAlignment w:val="center"/>
        <w:rPr>
          <w:rFonts w:eastAsia="宋体" w:cs="宋体"/>
          <w:color w:val="000000"/>
          <w:sz w:val="24"/>
        </w:rPr>
      </w:pPr>
    </w:p>
    <w:p>
      <w:pPr>
        <w:ind w:left="316" w:leftChars="100" w:right="316" w:rightChars="100"/>
        <w:rPr>
          <w:rFonts w:eastAsia="宋体" w:cs="宋体"/>
          <w:color w:val="000000"/>
          <w:sz w:val="24"/>
        </w:rPr>
      </w:pPr>
      <w:r>
        <w:rPr>
          <w:rFonts w:eastAsia="方正仿宋_GBK"/>
          <w:szCs w:val="22"/>
        </w:rPr>
        <w:pict>
          <v:line id="_x0000_s1029" o:spid="_x0000_s1029" o:spt="20" style="position:absolute;left:0pt;margin-top:29.4pt;height:0pt;width:442.2pt;mso-position-horizontal:center;z-index:251660288;mso-width-relative:page;mso-height-relative:page;" coordsize="21600,21600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eastAsia="方正仿宋_GBK"/>
          <w:szCs w:val="22"/>
        </w:rPr>
        <w:pict>
          <v:line id="_x0000_s1030" o:spid="_x0000_s1030" o:spt="20" style="position:absolute;left:0pt;margin-top:0.5pt;height:0pt;width:442.2pt;mso-position-horizontal:center;z-index:251661312;mso-width-relative:page;mso-height-relative:page;" coordsize="21600,21600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eastAsia="方正仿宋_GBK"/>
          <w:sz w:val="28"/>
        </w:rPr>
        <w:t>江阴市</w:t>
      </w:r>
      <w:r>
        <w:rPr>
          <w:rFonts w:hint="eastAsia" w:eastAsia="方正仿宋_GBK"/>
          <w:sz w:val="28"/>
        </w:rPr>
        <w:t xml:space="preserve">财政局办公室                       </w:t>
      </w:r>
      <w:r>
        <w:rPr>
          <w:rFonts w:eastAsia="方正仿宋_GBK"/>
          <w:sz w:val="28"/>
        </w:rPr>
        <w:t>201</w:t>
      </w:r>
      <w:r>
        <w:rPr>
          <w:rFonts w:hint="eastAsia" w:eastAsia="方正仿宋_GBK"/>
          <w:sz w:val="28"/>
        </w:rPr>
        <w:t>9</w:t>
      </w:r>
      <w:r>
        <w:rPr>
          <w:rFonts w:eastAsia="方正仿宋_GBK"/>
          <w:sz w:val="28"/>
        </w:rPr>
        <w:t>年</w:t>
      </w:r>
      <w:r>
        <w:rPr>
          <w:rFonts w:hint="eastAsia" w:eastAsia="方正仿宋_GBK"/>
          <w:sz w:val="28"/>
        </w:rPr>
        <w:t>3</w:t>
      </w:r>
      <w:r>
        <w:rPr>
          <w:rFonts w:eastAsia="方正仿宋_GBK"/>
          <w:sz w:val="28"/>
        </w:rPr>
        <w:t>月</w:t>
      </w:r>
      <w:r>
        <w:rPr>
          <w:rFonts w:hint="eastAsia" w:eastAsia="方正仿宋_GBK"/>
          <w:sz w:val="28"/>
        </w:rPr>
        <w:t>12</w:t>
      </w:r>
      <w:r>
        <w:rPr>
          <w:rFonts w:eastAsia="方正仿宋_GBK"/>
          <w:sz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9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jc w:val="both"/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10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700D2B"/>
    <w:rsid w:val="00031655"/>
    <w:rsid w:val="000777D7"/>
    <w:rsid w:val="000933CA"/>
    <w:rsid w:val="001D61D9"/>
    <w:rsid w:val="001F310C"/>
    <w:rsid w:val="002039D3"/>
    <w:rsid w:val="00233CC1"/>
    <w:rsid w:val="002A7F64"/>
    <w:rsid w:val="003B2764"/>
    <w:rsid w:val="00417D7C"/>
    <w:rsid w:val="00451792"/>
    <w:rsid w:val="00483B39"/>
    <w:rsid w:val="004866F7"/>
    <w:rsid w:val="004D0BF9"/>
    <w:rsid w:val="00514A0C"/>
    <w:rsid w:val="005B7E29"/>
    <w:rsid w:val="005E6E9C"/>
    <w:rsid w:val="005F02AD"/>
    <w:rsid w:val="006A3EA5"/>
    <w:rsid w:val="00715E5F"/>
    <w:rsid w:val="00731FE5"/>
    <w:rsid w:val="00733BE0"/>
    <w:rsid w:val="007525AA"/>
    <w:rsid w:val="00795519"/>
    <w:rsid w:val="007A188B"/>
    <w:rsid w:val="007E3572"/>
    <w:rsid w:val="0088440B"/>
    <w:rsid w:val="00914DDE"/>
    <w:rsid w:val="00921CA5"/>
    <w:rsid w:val="00A20793"/>
    <w:rsid w:val="00A81072"/>
    <w:rsid w:val="00AC394A"/>
    <w:rsid w:val="00AD1AD4"/>
    <w:rsid w:val="00B20461"/>
    <w:rsid w:val="00B8552E"/>
    <w:rsid w:val="00BB456C"/>
    <w:rsid w:val="00BB5E4C"/>
    <w:rsid w:val="00BC76AE"/>
    <w:rsid w:val="00C0384C"/>
    <w:rsid w:val="00C96705"/>
    <w:rsid w:val="00CD6087"/>
    <w:rsid w:val="00CD77BB"/>
    <w:rsid w:val="00D45CAF"/>
    <w:rsid w:val="00D505ED"/>
    <w:rsid w:val="00E52887"/>
    <w:rsid w:val="00E748C1"/>
    <w:rsid w:val="00E76BC1"/>
    <w:rsid w:val="00EC044F"/>
    <w:rsid w:val="03483D98"/>
    <w:rsid w:val="05700D2B"/>
    <w:rsid w:val="06AE6310"/>
    <w:rsid w:val="07B15360"/>
    <w:rsid w:val="08FB7FB0"/>
    <w:rsid w:val="09554203"/>
    <w:rsid w:val="0C064584"/>
    <w:rsid w:val="0EC105D2"/>
    <w:rsid w:val="11FF6E67"/>
    <w:rsid w:val="1CFC0847"/>
    <w:rsid w:val="20E849A2"/>
    <w:rsid w:val="20F86266"/>
    <w:rsid w:val="22415D29"/>
    <w:rsid w:val="233E173B"/>
    <w:rsid w:val="23581307"/>
    <w:rsid w:val="2719408D"/>
    <w:rsid w:val="28AE6AEA"/>
    <w:rsid w:val="31577B34"/>
    <w:rsid w:val="32E8380F"/>
    <w:rsid w:val="333224AC"/>
    <w:rsid w:val="34CA05A1"/>
    <w:rsid w:val="385F7531"/>
    <w:rsid w:val="38B42B87"/>
    <w:rsid w:val="3C1E05D5"/>
    <w:rsid w:val="3D876FC0"/>
    <w:rsid w:val="40B13E45"/>
    <w:rsid w:val="439E2F70"/>
    <w:rsid w:val="43BE441D"/>
    <w:rsid w:val="45C55E27"/>
    <w:rsid w:val="48B671BC"/>
    <w:rsid w:val="4AC15ACE"/>
    <w:rsid w:val="4CA766B5"/>
    <w:rsid w:val="4D8E06A0"/>
    <w:rsid w:val="55BD5D31"/>
    <w:rsid w:val="578573FD"/>
    <w:rsid w:val="57FD4F4C"/>
    <w:rsid w:val="58BA5B06"/>
    <w:rsid w:val="5B1F1AC9"/>
    <w:rsid w:val="5C12668B"/>
    <w:rsid w:val="5CB6238B"/>
    <w:rsid w:val="5CFD5B21"/>
    <w:rsid w:val="5F83445C"/>
    <w:rsid w:val="6D4824DD"/>
    <w:rsid w:val="6ED1427C"/>
    <w:rsid w:val="6FB135E2"/>
    <w:rsid w:val="72AC27DD"/>
    <w:rsid w:val="742B5D54"/>
    <w:rsid w:val="74FF565D"/>
    <w:rsid w:val="750D3FAA"/>
    <w:rsid w:val="780B6DAB"/>
    <w:rsid w:val="7A207557"/>
    <w:rsid w:val="7A4C6769"/>
    <w:rsid w:val="7BE10FAB"/>
    <w:rsid w:val="7DDA3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批注框文本 Char"/>
    <w:basedOn w:val="9"/>
    <w:link w:val="3"/>
    <w:uiPriority w:val="0"/>
    <w:rPr>
      <w:rFonts w:eastAsia="仿宋_GB2312"/>
      <w:kern w:val="2"/>
      <w:sz w:val="18"/>
      <w:szCs w:val="18"/>
    </w:rPr>
  </w:style>
  <w:style w:type="character" w:customStyle="1" w:styleId="12">
    <w:name w:val="日期 Char"/>
    <w:basedOn w:val="9"/>
    <w:link w:val="2"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4240A-5C6E-4B5A-A78B-3062E876A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2739</Words>
  <Characters>689</Characters>
  <Lines>5</Lines>
  <Paragraphs>6</Paragraphs>
  <TotalTime>52</TotalTime>
  <ScaleCrop>false</ScaleCrop>
  <LinksUpToDate>false</LinksUpToDate>
  <CharactersWithSpaces>3422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2019-02-22T01:27:00Z</dcterms:created>
  <dc:creator>饭团团团团团</dc:creator>
  <cp:lastModifiedBy>诠释那一世的唯美</cp:lastModifiedBy>
  <cp:lastPrinted>2019-03-11T01:04:00Z</cp:lastPrinted>
  <dcterms:modified xsi:type="dcterms:W3CDTF">2019-03-12T07:58:44Z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